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AARP/567/2014 vom 22. Dezember 2014</w:t>
      </w:r>
    </w:p>
    <w:p>
      <w:r>
        <w:t>GE Cour de justice, 2014-12-22, FR</w:t>
      </w:r>
    </w:p>
    <w:p>
      <w:r>
        <w:rPr>
          <w:b/>
        </w:rPr>
        <w:t xml:space="preserve">Quelle: </w:t>
      </w:r>
      <w:r>
        <w:t>https://mcp.opencaselaw.ch/entscheid/ge_gerichte_AARP_567_2014</w:t>
      </w:r>
    </w:p>
    <w:p>
      <w:r>
        <w:t>FR: GE_GERICHTE AARP/567/2014 du 22 décembre 2014</w:t>
      </w:r>
    </w:p>
    <w:p>
      <w:r>
        <w:t>IT: GE_GERICHTE AARP/567/2014 del 22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Il n'y a pas lieu de revenir sur le verdict de culpabilité s'agissant d'une violation intentionnelle des règles fondamentales de la circulation (art. 90 al. 3 et al. 4 LCR),</w:t>
      </w:r>
    </w:p>
    <w:p>
      <w:r>
        <w:t>- 6/10 - P/5039/2013 faits au demeurant établis, ni sur la quotité de la peine prononcée, non contestée et conforme aux éléments du dossier.</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Sur le plan objectif, seules les peines de 6 mois à 2 ans peuvent être assorties du sursis total (cf. art. 42 al. 1 CP).</w:t>
      </w:r>
    </w:p>
    <w:p>
      <w:r>
        <w:rPr>
          <w:b/>
        </w:rPr>
        <w:t>E. 3.3</w:t>
      </w:r>
    </w:p>
    <w:p>
      <w:r>
        <w:t>Lorsque la durée de la peine privative de liberté se situe, comme en l'espèce, entre 1 et 2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 arrêt du Tribunal fédéral 6B_1044/2013 précité). Dans le cadre du pronostic déterminant l'octroi du sursis, les antécédents pénaux ne constituent qu'un élément parmi d'autres. Ils ne l'emportent pas nécessairement sur les autres considérations pertinentes (arrêt 6B_569/2008 du 24 mars 2009 consid. 2.3;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w:t>
      </w:r>
    </w:p>
    <w:p>
      <w:r>
        <w:t>- 7/10 - P/5039/2013 prononcées dans les 5 ans qui précèdent l'infraction n'équivalent pas au moins à 3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w:t>
      </w:r>
    </w:p>
    <w:p>
      <w:r>
        <w:rPr>
          <w:b/>
        </w:rPr>
        <w:t>E. 3.4</w:t>
      </w:r>
    </w:p>
    <w:p>
      <w:r>
        <w:t>En l'espèce, la gravité certaine de la faute de l'intimé ne saurait être remise en question, ce qui justifiait, comme l'a fait le premier juge, sa condamnation à une peine privative de liberté de 24 mois. Dans les cinq ans précédant l'infraction du 3 avril 2013, l'intimé a été condamné le 29 août 2011, notamment pour infraction à la LCR, à une peine de 60 jours-amende. Son autre condamnation pour faits spécifiques remonte au-delà, soit au 17 juillet 2006. La condition objective pour l'octroi d'un sursis est partant réalisée. S'ajoutent sur cette même période rétroactive de 5 ans, mais qui n'ont pas été sanctionnées pénalement, des violations de la LCR ayant conduit à des décisions administratives de retrait du permis de conduire, en 2008 et 2009, pour une conduite en état d'ébriété et un dépassement de vitesse de 31 km/h sur autoroute. Si les condamnations et décisions administratives ne manquent pas de préoccuper, elles ne permettent à elles seules pas encore de poser un pronostic défavorable excluant le sursis total ou partiel. L'intimé a pour la seconde fois, le 3 avril 2013 - la première fois remontant au 13 juillet 2006 -, connu les affres d'une interpellation, d'une mise au violon, dont il pourrait avoir tiré les leçons qui s'imposent pour son comportement futur, en particulier sur la route où il lui est, jusqu'à nouvelle décision de l'Office cantonal des véhicules interdit de circuler au volant ou au guidon de quel que véhicule motorisé</w:t>
      </w:r>
    </w:p>
    <w:p>
      <w:r>
        <w:t>- 8/10 - P/5039/2013 que ce soit. Il sera relevé à cet égard qu'il n'a jamais été constaté de violation par l'intimé des mesures d'interdiction de conduire ordonnées précédemment, au nombre de quatre, de sorte que l'on ne peut pas spéculer comme le fait le Ministère public sur une telle hypothèse pour lui refuser le sursis complet. Il poursuit par ailleurs un suivi psychothérapeutique, certes initié sur une base non volontaire, mais qui pourrait commencer à porter ses fruits, l'appelant se montrant sérieux et investi à teneur de la dernière attestation produite. Même s'il s'agit là du second suivi auquel se soumet l'intimé, le trouble de la personnalité dont il souffre est maintenant diagnostiqué de sorte que la prise en charge peut être mieux ciblée, avec des effets positifs à en attendre. Il pourrait aussi avoir trouvé une certaine stabilité dans sa vie privée, bien que sa réinsertion professionnelle semble encore poser problème concernant son financement et que du chemin reste à accomplir jusqu'à trouver un emploi. Le fait de subir dans ces conditions une peine privative de liberté, même en semi-détention, aurait à l'évidence un effet négatif sur son avenir (sa formation, sa situation familiale, etc.), eu égard aux contraintes horaires d'une formation de grade universitaire. Enfin, tout nouveau crime ou délit, en particulier à la LCR, pourrait conduire l'intimé à subir une peine conséquente, ce qui devrait avoir l'effet dissuasif escompté. Compte tenu de ces circonstances, on se trouve comme retenu par le premier juge face à un pronostic incertain qui doit conduire à une mise au bénéfice de l'intimé du sursis total. Le jugement entrepris doit partant être confirmé et l'appel du Ministère public rejeté. 4. 4.1.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24 septembre 2014. 4.2.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- 9/10 - P/5039/2013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4.3. Me Yan LAM a été désigné défenseur d'office de l'intimé le 4 avril 2013. Il a déposé une demande d'indemnisation par devant la CPAR le 10 décembre 2014. S'agissant de l'activité déployée devant la juridiction d'appel, ledit état de frais est composé de 7 heures d'activité de chef d'étude. Le poste conférence client, estimé à 1h après réception du présent arrêt, sera cas échéant pris en charge par le Tribunal fédéral, étant relevé qu'une estimation n'est pas recevable. Pour le surplus, l'activité exercée par le conseil nommé d'office dans le cadre de la présente procédure est en adéquation avec la nature, l'importance et la difficulté de la cause. Par conséquent, l'état de frais sera admis à concurrence de 6h d'activité de chef d'étude, ce qui correspond à une indemnité de base de CHF 1'200.-. Il convient d'ajouter à ce montant l'indemnisation forfaitaire de 20 %, soit CHF 240.-, ainsi que la TVA à hauteur de CHF 115.20.-. 4.4. Conformément à la jurisprudence citée supra sous ch. 4.1., la présente cause sera retournée au Tribunal pénal pour la partie de l'indemnisation des honoraires du conseil nommé d'office non couverte par la procédure d'appel. 5. Vu l’issue de la procédure et la qualité de l'appelant, les frais de la procédure d'appel seront laissés à la charge de l'Etat (art. 428 CPP). * * * * *</w:t>
      </w:r>
    </w:p>
    <w:p>
      <w:r>
        <w:t>- 10/10 - P/5039/2013</w:t>
      </w:r>
    </w:p>
    <w:p>
      <w:r>
        <w:rPr>
          <w:b/>
        </w:rPr>
        <w:t>E. 6</w:t>
      </w:r>
    </w:p>
    <w:p>
      <w:r>
        <w:t>mois de privation de liberté ou 180 jours-amende (art. 42 al. 2 CP).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