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AARP/567/2013 vom 28. November 2013</w:t>
      </w:r>
    </w:p>
    <w:p>
      <w:r>
        <w:t>GE Cour de justice, 2013-11-28, FR</w:t>
      </w:r>
    </w:p>
    <w:p>
      <w:r>
        <w:rPr>
          <w:b/>
        </w:rPr>
        <w:t xml:space="preserve">Quelle: </w:t>
      </w:r>
      <w:r>
        <w:t>https://mcp.opencaselaw.ch/entscheid/ge_gerichte_AARP_567_2013</w:t>
      </w:r>
    </w:p>
    <w:p>
      <w:r>
        <w:t>FR: GE_GERICHTE AARP/567/2013 du 28 novembre 2013</w:t>
      </w:r>
    </w:p>
    <w:p>
      <w:r>
        <w:t>IT: GE_GERICHTE AARP/567/2013 del 28 novembre 2013</w:t>
      </w:r>
    </w:p>
    <w:p>
      <w:pPr>
        <w:pStyle w:val="Heading2"/>
      </w:pPr>
      <w:r>
        <w:t>Erwägungen</w:t>
      </w:r>
    </w:p>
    <w:p>
      <w:r>
        <w:rPr>
          <w:b/>
        </w:rPr>
        <w:t>E. 1.1</w:t>
      </w:r>
    </w:p>
    <w:p>
      <w:r>
        <w:t>L'appel est recevable pour avoir été interjeté et motivé selon la forme et dans les délais prescrits (art. 398 et 399 CPP.)</w:t>
      </w:r>
    </w:p>
    <w:p>
      <w:r>
        <w:t>- 7/11 - P/8874/2012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w:t>
      </w:r>
    </w:p>
    <w:p>
      <w:r>
        <w:rPr>
          <w:b/>
        </w:rPr>
        <w:t>E. 2.2</w:t>
      </w:r>
    </w:p>
    <w:p>
      <w:r>
        <w:t>L'auteur direct (Einzeltäter) est celui qui réalise lui-même et en sa seule personne tous les éléments constitutifs de l'infraction (ATF 120 IV 17 consid. 2d).</w:t>
      </w:r>
    </w:p>
    <w:p>
      <w:r>
        <w:rPr>
          <w:b/>
        </w:rPr>
        <w:t>E. 2.3</w:t>
      </w:r>
    </w:p>
    <w:p>
      <w:r>
        <w:t>Agit comme complice (Gehilfe),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 121 IV 109 consid. 3a p. 119-120 ; arrêt du Tribunal fédéral 6B_72/2009 du 20 mai 2009 consid. 2.1.).</w:t>
      </w:r>
    </w:p>
    <w:p>
      <w:r>
        <w:t>- 8/11 - P/8874/2012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2.4</w:t>
      </w:r>
    </w:p>
    <w:p>
      <w:r>
        <w:t>En l'espèce, il n'y a pas lieu de discuter des faits non contestés tels qu'ils ont été rapportés par les parties plaignantes. Les déclarations de l'appelant, qui conteste être l'auteur direct des faits, ne sont pas crédibles. Elles n'ont cessé de varier au cours de la procédure. Il a successivement nié avoir été présent, soutenu avoir été impliqué en faisant le guet, nié être complice mais s'être enfui quand il avait entendu les cris des victimes et enfin, admis avoir fait le guet. A l'inverse, les déclarations des parties plaignantes ont été constantes et concordantes. Elles ont formellement reconnu l'appelant comme ayant été présent au moment de leur agression, au contraire de H______ auquel elles ont été confrontées à deux reprises et qu'elles n'ont pas reconnu. Ces dernières ont décrit leur agresseur comme ayant une moustache et ayant des cheveux courts, ce qui correspond aux caractéristiques physiques de l'appelant à l'époque des faits. Son complice a été décrit comme ne portant pas de tatouage, ni de boucle d'oreille, deux caractéristiques auxquelles l'appelant ne peut pas prétendre. La veste rouge retrouvée dans le casier de l'appelant concorde avec la description de l'habillement qu'ont donné les parties plaignantes de leur agresseur. Il en est de même de la casquette retrouvée sur son lit, dont la présence la rattache à l'appelant. Les déclarations tardives de ce dernier selon lesquelles il gardait dans son casier personnel des effets de connaissances ne sont pas crédibles, ce d'autant plus que ledit casier est fermé à clé. On voit mal que des personnes qui, par hypothèse, entreposeraient des effets dans le casier de l'appelant doivent compter sur lui pour y avoir accès alors que d'autres casiers sont à disposition dans une pièce attenante au dortoir. Son état d'asthmatique n'exclut en rien qu'il ait pu recourir à un spray au poivre pour immobiliser ses victimes, dans la mesure où, pour être efficace, un spray doit avoir un rayon d'action restreint pour ne pas incommoder son utilisateur, sans préjudice qu'il a pu ne pas estimer qu'il y avait un danger ou l'accepter. Au vu de ce qui précède, il existe un faisceau d'indices concordants suffisants pour retenir, au-delà de tout doute raisonnable, que l'appelant est bien l'auteur principal des faits qui lui sont reprochés. La déclaration de culpabilité sera confirmée et, partant, l'appel rejeté.</w:t>
      </w:r>
    </w:p>
    <w:p>
      <w:r>
        <w:t>- 9/11 - P/8874/2012</w:t>
      </w:r>
    </w:p>
    <w:p>
      <w:r>
        <w:rPr>
          <w:b/>
        </w:rPr>
        <w:t>E. 3</w:t>
      </w:r>
    </w:p>
    <w:p>
      <w:r>
        <w:t>Dans la mesure où l'appelant succombe sur la question de son rôle dans le brigandage, ses autres conclusions deviennent sans objet. Il suffira à ce stade de constater que la peine qui lui a été infligée correspond aux critères posés par l'art. 47 CP, sa prise de conscience de la gravité de ses actes, quasi nulle, ajoutée à ses nombreux antécédents, démontrant que l'appelant n'est guère sensible à la sanction pénale et qu'il s'est installé dans la délinquance. Sa situation personnelle précaire ne saurait représenter une excuse justificative. C'est sans compter que la peine doit ici aussi tenir compte du cumul d'infractions qui impose une aggravation de la sanction.</w:t>
      </w:r>
    </w:p>
    <w:p>
      <w:r>
        <w:rPr>
          <w:b/>
        </w:rPr>
        <w:t>E. 4</w:t>
      </w:r>
    </w:p>
    <w:p>
      <w:r>
        <w:t>L'appelant, qui succombe, supportera les frais de la procédure envers l'Etat (art. 428 CPP), comprenant un émolument de CHF 1'500.- (art. 14 al. 1 let. e du règlement fixant le tarif des frais en matière pénale du 22 décembre 2010 (RTFMP ; RS E 4 10.03). * * * * *</w:t>
      </w:r>
    </w:p>
    <w:p>
      <w:r>
        <w:t>- 10/11 - P/8874/2012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