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AARP/565/2014 vom 22. Dezember 2014</w:t>
      </w:r>
    </w:p>
    <w:p>
      <w:r>
        <w:t>GE Cour de justice, 2014-12-22, FR</w:t>
      </w:r>
    </w:p>
    <w:p>
      <w:r>
        <w:rPr>
          <w:b/>
        </w:rPr>
        <w:t xml:space="preserve">Quelle: </w:t>
      </w:r>
      <w:r>
        <w:t>https://mcp.opencaselaw.ch/entscheid/ge_gerichte_AARP_565_2014</w:t>
      </w:r>
    </w:p>
    <w:p>
      <w:r>
        <w:t>FR: GE_GERICHTE AARP/565/2014 du 22 décembre 2014</w:t>
      </w:r>
    </w:p>
    <w:p>
      <w:r>
        <w:t>IT: GE_GERICHTE AARP/565/2014 del 22 dicembre 2014</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Selon l'art. 123 ch. 1 CP, celui qui, intentionnellement, aura fait subir à une personne une autre atteinte que grave à l'intégrité corporelle ou à la santé sera, sur</w:t>
      </w:r>
    </w:p>
    <w:p>
      <w:r>
        <w:t>- 7/13 - P/7793/2013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Les lésions corporelles sont qualifiées d'infraction intentionnelle de résultat. L'auteur doit avoir agi avec conscience et volonté (art. 12 al. 2 CP), le dol éventuel étant suffisant.</w:t>
      </w:r>
    </w:p>
    <w:p>
      <w:r>
        <w:rPr>
          <w:b/>
        </w:rPr>
        <w:t>E. 2.3</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2e éd., 2007, n. 5 ad art. 285 CP ; B. CORBOZ, Les infractions en droit suisse, vol. II, 2002,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vol I, n. 4 ad art. 181 CP). Selon la jurisprudence, le degré que doit atteindre l'usage de la violence pour entraîner l'application de l'art. 285 CP ne peut pas être fixé de manière absolue, mais dépend</w:t>
      </w:r>
    </w:p>
    <w:p>
      <w:r>
        <w:t>- 8/13 - P/7793/2013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vol II, n. 4 ad art. 285 CP ; G. STRATENWERTH / F. BOMMER, Schweizerisches Strafrecht, Besonderer Teil II : Straftaten gegen Gemeininteressen, 6e éd., 2008, § 50 n. 20), alors que, d'après d'autres auteurs, de tels actes ne sauraient être qualifiés d'actes de violence au sens de l'art. 285 CP, mais constituent des actes d'opposition selon l'art. 286 CP (S. TRECHSEL, Schweizerisches Strafgesetzbuch : Praxiskommentar, Zurich/Saint-Gall 2008, n. 3 ad art. 285 ; S. HEIMGARTNER, op. cit., n. 7 ad art. 285 CP). Enfin, la violence doit atteindre le fonctionnaire, mais non un tiers (S. HEIMGARTNER, op. cit.,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vol. II, n. 11 ad art. 285 CP).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vol. II, n. 17 ad art. 285 ; S. TRECHSEL, op.cit.,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2.4</w:t>
      </w:r>
    </w:p>
    <w:p>
      <w:r>
        <w:t>Il y a concours idéal, lorsque, par un seul acte ou un ensemble d'actes formant un tout, l'auteur enfreint plusieurs dispositions pénales différentes, dont aucune ne saisit l'acte délictueux sous tous ses aspects (ATF 133 IV 297 consid. 4.1 p. 300). L'infraction à l'art. 285 ch.1 al. 1 CP peut être réalisée en concours avec l'infraction de lésions corporelles simples (M. DUPUIS / B. GELLER / G. MONNIER / L. MOREILLON / C. PIGUET / C. BETTEX / D. SOLL (éd.), Code pénal, Petit commentaire, Bâle 2012, n. 23 ad art. 285). L'art. 49 al. 1 CP est applicable au concours idéal (C.FAVRE, M.PELLET, P.STOUDMANN, Code pénal annoté, 2007, n. 1.8 ad art. 49 CP).</w:t>
      </w:r>
    </w:p>
    <w:p>
      <w:r>
        <w:t>- 9/13 - P/7793/2013 2.5.1. En l'espèce, il est avéré à teneur du constat médical produit à la procédure que B______ présentait à l'annulaire gauche des blessures constitutives de lésions corporelles simples au vu du degré d'atteinte causé à son intégrité physique.</w:t>
      </w:r>
    </w:p>
    <w:p>
      <w:r>
        <w:t>Il ressort des déclarations convergentes des gendarmes que l'appelante a bien saisi un doigt de la main gauche de la partie plaignante et l'a tordu, alors que celle-ci cherchait à la maîtriser. Cette version est corroborée par celle du témoin qui a indiqué avoir vu l'appelante tordre les doigts, respectivement la main du gendarme. L'appelante a elle-même reconnu dans un premier temps, avant de se raviser, s'être débattue. Si elle a contesté d'emblée avoir tordu le doigt de la partie plaignante, sa version des faits, selon laquelle la partie plaignante se serait infligée seule les lésions constatées, dans une idée de justifier une interpellation illicite, n'est pas propre à remettre en doute cette appréciation et vient, au contraire, renforcer la conviction de la CPAR.</w:t>
      </w:r>
    </w:p>
    <w:p>
      <w:r>
        <w:t>Pour la CPAR, il ne subsiste aucun doute sur le fait que l'appelante en est l'auteure, ce nonobstant ses dénégations. Le jugement entrepris doit être confirmé sur ce point. 2.5.2. Il est également établi à teneur de la procédure que ces lésions ont été causées alors que le gendarme était en fonction et cherchait à procéder à l'interpellation de l'appelante qui se montrait récalcitrante à décliner son identité et à présenter ses papiers d'identité, alors qu'elle était l'auteure d'une contravention, cas précisément prévu par l'art. 217 al. 3 lit. a CPP. Ce faisant, l'appelante a usé de violence et rendu l'acte officiel de l'agent de police plus difficile. Elle s'était auparavant montrée agressive gestuellement et verbalement vis-à-vis des représentants des forces de l'ordre dont le comportement est resté correct, aux dires du témoin, face à la provocation de l'appelante les heurtant avec sa portière, puis les prenant en photo.</w:t>
      </w:r>
    </w:p>
    <w:p>
      <w:r>
        <w:t>Le jugement entrepris doit partant également être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- 10/13 - P/7793/2013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3.2</w:t>
      </w:r>
    </w:p>
    <w:p>
      <w:r>
        <w:t>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3.4.1. En l'espèce l'appelante allègue s'être énervée du moment que les policiers voulaient l'interpeller et cherchaient à lui passer les menottes. Elle n'avait alors pas été violente ni verbalement, ni gestuellement à leur encontre. Un état d'énervement dans un tel contexte de fait, comme l'a décrit l'appelante elle-même, ne saurait être qualifié d'émotion violente tel que requis par le texte de la loi.</w:t>
      </w:r>
    </w:p>
    <w:p>
      <w:r>
        <w:t>Le jugement entrepris sera également confirmé en tant qu'il n'a pas retenu de circonstance atténuante au sens de l'art. 48 al. 1 let. c CP.</w:t>
      </w:r>
    </w:p>
    <w:p>
      <w:r>
        <w:t>- 11/13 - P/7793/2013 3.4.2. La faute de l'appelante n'est pas négligeable, ce nonobstant le fait que les lésions causées au gendarme se soient révélées de gravité moindre que celles annoncées initialement. Son comportement dénote un mépris de l'autorité et une difficulté à se conformer à des ordres de police, dût-elle en contester l'utilité. Il y a concours d'infractions. La prise de conscience de l'appelante sur les faits qui lui sont reprochés demeure nulle. Elle a des antécédents judiciaires qui peuvent être qualifiés de similaires, s'agissant d'insoumission à une décision de l'autorité et de lésions corporelles simples. La peine pécuniaire prononcée en première instance à l'encontre de l'appelante est adéquate, car adaptée à sa culpabilité, et doit être confirmée. De même, le montant du jour-amende, arrêté à CHF 30.- par le premier juge, est conforme à la situation financière de l'appelante, ce que cette dernière ne conteste d'ailleurs pas. La mesure de sursis prononcée est acquise à l’appelante, au regard de l'interdiction de la reformatio in pejus.</w:t>
      </w:r>
    </w:p>
    <w:p>
      <w:r>
        <w:rPr>
          <w:b/>
        </w:rPr>
        <w:t>E. 4</w:t>
      </w:r>
    </w:p>
    <w:p>
      <w:r>
        <w:t>Vu l'issue de la procédure d'appel, les prétentions en indemnisation formulées par A______ sont infondées et doivent être rejetées (art. 429 CPP).</w:t>
      </w:r>
    </w:p>
    <w:p>
      <w:r>
        <w:rPr>
          <w:b/>
        </w:rPr>
        <w:t>E. 5</w:t>
      </w:r>
    </w:p>
    <w:p>
      <w:r>
        <w:t>L'appelante, qui succombe, supportera les frais de la procédure envers l'État comprenant un émolument de jugement de CHF 1'200.- (art. 428 CPP et art. 14 du règlement fixant le tarif des frais en matière pénale du 22 décembre 2010 [RFTMP ; RS E 4 10.03]) (art. 428 CPP). * * * * *</w:t>
      </w:r>
    </w:p>
    <w:p>
      <w:r>
        <w:t>- 12/13 - P/7793/2013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