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AARP/560/2014 vom 11. Dezember 2014</w:t>
      </w:r>
    </w:p>
    <w:p>
      <w:r>
        <w:t>GE Cour de justice, 2014-12-11, FR</w:t>
      </w:r>
    </w:p>
    <w:p>
      <w:r>
        <w:rPr>
          <w:b/>
        </w:rPr>
        <w:t xml:space="preserve">Quelle: </w:t>
      </w:r>
      <w:r>
        <w:t>https://mcp.opencaselaw.ch/entscheid/ge_gerichte_AARP_560_2014</w:t>
      </w:r>
    </w:p>
    <w:p>
      <w:r>
        <w:t>FR: GE_GERICHTE AARP/560/2014 du 11 décembre 2014</w:t>
      </w:r>
    </w:p>
    <w:p>
      <w:r>
        <w:t>IT: GE_GERICHTE AARP/560/2014 del 11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infractions à la LStup et les dommages à la propriété commis au préjudice du pouvoir judiciaire sont désormais admis par l'appelant. Celui-ci sera donc reconnu</w:t>
      </w:r>
    </w:p>
    <w:p>
      <w:r>
        <w:t>- 7/16 - P/10225/2014 coupable de ces infractions dont les éléments constitutifs sont réalisés. Le jugement entrepris sera confirmé dans cette mesure.</w:t>
      </w:r>
    </w:p>
    <w:p>
      <w:r>
        <w:rPr>
          <w:b/>
        </w:rPr>
        <w:t>E. 2.3</w:t>
      </w:r>
    </w:p>
    <w:p>
      <w:r>
        <w:t>Plusieurs éléments peuvent faire penser à la culpabilité de l'appelant, en premier lieu la présence de son ADN sur une lime. Il y sera revenu infra. On peut retenir comme indice à charge la proximité du foyer où il résidait et de la villa sise sur son parcours. Ses explications relatives à l'utilisation de la lime pour réparer son vélo ne sont guère crédibles, à l'instar de celles qu'il a fournies à la police où il n'a nullement mis en cause les autres locataires partageant sa chambre ou de passage, se contentant de nier en bloc et de faire part de son incrédulité. Un autre élément tient au fait que la mise en cause de son colocataire comme auteur de l'infraction a été contestée par le principal intéressé avec lequel il a été confronté en audience d'appel. La lime sur laquelle un prélèvement d'ADN de l'appelant a été mis en évidence aurait pu et dû constituer un élément à charge décisif. Tel n'est pas le cas, dans la mesure où ce n'est que tardivement qu'il a su que cet outil lui appartenait. Il n'a ainsi pas pu fournir une explication autre que celle consistant à affirmer qu'il ne comprenait pas, ce qui pouvait laisser à penser qu'il cachait quelque chose. Il ressort cependant de l'instruction que la chambre qu'il occupait au Foyer était le théâtre d'un va-et-vient permanent et un lieu d'entreposage de biens volés. L'utilisation de la lime de l'appelant par un tiers ne peut dans ces circonstances être écartée d'un revers de main, sans qu'il ne soit possible à ce stade de désigner l'auteur de cet acte. L'existence d'un vélo n'est au surplus pas le fruit de l'imagination de l'appelant, puisque un témoin et même la police ont pu en attester, même si l'utilisation de la lime dans ce cadre reste sujette à caution. Un indice supplémentaire à décharge vient des antécédents judiciaires de l'appelant. Celui-ci n'est en effet pas connu pour être un délinquant en matière de cambriolage, seul une complicité de vol lui étant reprochée au titre de l'atteinte au patrimoine. Au vu de ce qui précède, même s'il existe des indices de la culpabilité de l'appelant, il subsiste un doute suffisamment sérieux pour ne pas la retenir, au risque de violer le principe in dubio pro reo, étant rappelé qu'il ne saurait être reproché au prévenu de ne pas avoir apporté la preuve de son innocence. L'appelant sera ainsi acquitté de la tentative de vol et de la violation de domicile conformément à ses conclusions. Son acquittement porte aussi sur les dommages à la propriété relatives à la tentative de vol, bien que cette infraction soit finalement retenue à son encontre à l'aune des faits reprochés et reconnus par l'appelant en lien avec sa fuite du Ministère public.</w:t>
      </w:r>
    </w:p>
    <w:p>
      <w:r>
        <w:rPr>
          <w:b/>
        </w:rPr>
        <w:t>E. 3.1</w:t>
      </w:r>
    </w:p>
    <w:p>
      <w:r>
        <w:t>Selon l'art. 47 CP, le juge fixe la peine d'après la culpabilité de l'auteur. Il prend en considération les antécédents et la situation personnelle de ce dernier ainsi que</w:t>
      </w:r>
    </w:p>
    <w:p>
      <w:r>
        <w:t>- 8/16 - P/10225/2014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w:t>
      </w:r>
    </w:p>
    <w:p>
      <w:r>
        <w:t>- 9/16 - P/10225/2014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w:t>
      </w:r>
    </w:p>
    <w:p>
      <w:r>
        <w:rPr>
          <w:b/>
        </w:rPr>
        <w:t>E. 3.5</w:t>
      </w:r>
    </w:p>
    <w:p>
      <w:r>
        <w:t>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w:t>
      </w:r>
    </w:p>
    <w:p>
      <w:r>
        <w:t>- 10/16 - P/10225/2014 6B_250/2009 du 8 juin 2009 consid. 1.1.2 et 6B_291/2008 du 7 août 2008 consid. 4.1). 3.6.1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3.6.2 La détermination du nombre de jours-amende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w:t>
      </w:r>
    </w:p>
    <w:p>
      <w:r>
        <w:rPr>
          <w:b/>
        </w:rPr>
        <w:t>E. 3.7</w:t>
      </w:r>
    </w:p>
    <w:p>
      <w:r>
        <w:t>La faute de l'appelant est moyenne, dans le sens où l'importance relative des infractions est quelque peu compensée par la répétition d'actes illicites sur deux périodes différentes (mai et juillet 2014). Sa fuite face à l'annonce de son arrestation démontre une impulsivité mal contrôlée. Ajoutée à son trafic de stupéfiants, certes de peu d'envergure, sa conduite laisse songeur sur sa volonté de respecter à l'avenir les règles en vigueur, notamment quand elles vont à l'encontre de sa détermination. Certes, sa nouvelle liaison affective pourrait y contribuer, mais elle n'est pas encore suffisamment ancrée dans la durée pour modifier la nature d'un pronostic qui reste défavorable en l'état. C'est sans compter que la collaboration de l'appelant a été</w:t>
      </w:r>
    </w:p>
    <w:p>
      <w:r>
        <w:t>- 11/16 - P/10225/2014 mauvaise pour la violation de la LStup, avant qu'il ne daigne accepter sa culpabilité sur la base des témoignages accablants des toxicomanes et des policiers qui avaient observé son trafic. L'appelant a en revanche admis sa culpabilité pour les dommages à la propriété. Au vu de ce qui précède, la révocation de la libération conditionnelle décidée par le premier juge doit être tenue pour justifiée, ce qui conduit la juridiction d'appel à prononcer une peine d'ensemble, au sens de l'art. 89 al. 6 CP. Il y a concours d'infractions, ce qui est un facteur aggravant, à l'instar de ses antécédents judiciaires, même si les condamnations subies ne témoignent pas de faits graves dont il a été l'auteur dans un passé récent et qu'elles ne sont pas spécifiques. Dans ces circonstances, une peine d'ensemble de 6 mois de peine privative de liberté apparaît adéquate, dans la mesure où une telle sanction tient équitablement compte de l'acquittement dont l'appelant a bénéficié en appel. La peine pécuniaire, qui vient sanctionner un empêchement d'accomplir un acte officiel, est adéquate quant à la fixation du nombre de jours-amende. Elle correspond à la gravité moyenne la faute qui témoigne d'un manque de respect des ordres de police, quel qu'ait pu être l'état d'excitation de l'appelant. La quotité de l'unité du jour-amende est en revanche excessive, l'appelant étant dans une situation financière qui n'atteint pas le seuil du minimum vital, même au regard de l'indemnité qu'il a pu recevoir comme titulaire du permis N. Un montant de CHF 10.- par jour semble plus approprié à sa situation personnelle. Dans cette mesure, l'appel sera admis, à la fois sur la quotité de la peine privative de liberté que sur la fixation de l'unité du jour-amende pour la peine pécuniaire. Pour autant, la peine privative de liberté à laquelle l'appelant est condamné est inférieure à la détention avant jugement subie. L'appelant sera en conséquence débouté de ses prétentions en indemnisation au titre du tort moral.</w:t>
      </w:r>
    </w:p>
    <w:p>
      <w:r>
        <w:rPr>
          <w:b/>
        </w:rPr>
        <w:t>E. 4</w:t>
      </w:r>
    </w:p>
    <w:p>
      <w:r>
        <w:t>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op. cit.,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w:t>
      </w:r>
    </w:p>
    <w:p>
      <w:r>
        <w:rPr>
          <w:b/>
        </w:rPr>
        <w:t>E. 4.1</w:t>
      </w:r>
    </w:p>
    <w:p>
      <w:r>
        <w:t>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est compétente, au sens de l'art. 135 al. 2 CPP, pour statuer sur l'activité postérieure à sa saisine, le 14 octobre 2014.</w:t>
      </w:r>
    </w:p>
    <w:p>
      <w:r>
        <w:t>- 12/16 - P/10225/2014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En l'espèce, l'activité suivante ne sera pas considérée comme nécessaire : - une demi-heure pour les débats d'appel, ceux-ci ayant duré deux heures en tout (une heure et demie pour l'audience et une demi-heure pour la notification du dispositif) ; - cinquante minutes pour le poste "procédure", la requête en indemnisation étant une prestation incluse dans le forfait courriers et téléphones et la déclaration d'appel n'ayant pas besoin d'être motivée selon les exigences de l'art. 399 al. 3 CPP ; - une demi-heure pour la préparation de l'audience, au motif que le conseil de l'appelant était censée bien connaître son dossier pour avoir assisté son mandant depuis le début de la procédure. Dans ces circonstances, il n'était pas nécessaire de consacrer encore deux heures à la préparation de l'audience d'appel dont le champ était circonscrit à un seul acte litigieux. Par conséquent, l'état de frais, après les réductions qui précèdent, sera admis à concurrence de 7 heures d'activité de chef d'étude, ce qui correspond à une indemnité de base de CHF 1'500.-. Il convient d'ajouter à ce montant l'indemnisation forfaitaire de 20 %, soit CHF 300.-, ainsi que la TVA à hauteur de CHF 144.-.</w:t>
      </w:r>
    </w:p>
    <w:p>
      <w:r>
        <w:rPr>
          <w:b/>
        </w:rPr>
        <w:t>E. 5</w:t>
      </w:r>
    </w:p>
    <w:p>
      <w:r>
        <w:t>Les motifs ayant conduit le premier juge à prononcer, par ordonnance séparée du 13 août 2014, le maintien de X______ en détention pour des motifs de sûreté sont toujours d'actualité, ce que celui-ci ne conteste au demeurant pas, de sorte que la mesure sera reconduite mutatis mutandis (ATF 139 IV 277 consid. 2.2 à 2.3).</w:t>
      </w:r>
    </w:p>
    <w:p>
      <w:r>
        <w:t>- 13/16 - P/10225/2014</w:t>
      </w:r>
    </w:p>
    <w:p>
      <w:r>
        <w:rPr>
          <w:b/>
        </w:rPr>
        <w:t>E. 6</w:t>
      </w:r>
    </w:p>
    <w:p>
      <w:r>
        <w:t>L’appelant ayant eu gain de cause sur une partie des faits pour lesquels il a été reconnu coupable en première instance, les frais y afférents doivent être réduits (art. 428 al. 3 et 4 CPP). Une quote-part des deux tiers des frais sera ainsi laissée à sa charge, le solde étant à la charge de l'Etat. L'appelant succombe partiellement en appel, ce qui conduit la juridiction d'appel à limiter à la moitié les frais d'appel à sa charge, ceux-ci comprenant un émolument de CHF 2'000.-, le solde étant laissé à la charge de l'Etat (art. 428 al. 1 CPP et art. 14 al. 1 let. e du règlement fixant le tarif des frais en matière pénale, E 4 10.03). * * * * *</w:t>
      </w:r>
    </w:p>
    <w:p>
      <w:r>
        <w:t>- 14/16 - P/10225/2014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