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AARP/560/2013 vom 28. November 2013</w:t>
      </w:r>
    </w:p>
    <w:p>
      <w:r>
        <w:t>GE Cour de justice, 2013-11-28, FR</w:t>
      </w:r>
    </w:p>
    <w:p>
      <w:r>
        <w:rPr>
          <w:b/>
        </w:rPr>
        <w:t xml:space="preserve">Quelle: </w:t>
      </w:r>
      <w:r>
        <w:t>https://mcp.opencaselaw.ch/entscheid/ge_gerichte_AARP_560_2013</w:t>
      </w:r>
    </w:p>
    <w:p>
      <w:r>
        <w:t>FR: GE_GERICHTE AARP/560/2013 du 28 novembre 2013</w:t>
      </w:r>
    </w:p>
    <w:p>
      <w:r>
        <w:t>IT: GE_GERICHTE AARP/560/2013 del 28 novembre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- 8/23 - P/16318/2011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w:t>
      </w:r>
    </w:p>
    <w:p>
      <w:r>
        <w:t>- 9/23 - P/16318/2011 eu égard à l'ensemble des circonstances d'espèce, s'attendre à cette nouvelle qualification juridique des faits, auquel cas il n'y a pas violation de ses droits de défense (ATF 126 I 19 consid. 2d/bb p. 24).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ne peut toutefois fonder son jugement sur une accusation modifiée ou complétée que si les droits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rPr>
          <w:b/>
        </w:rPr>
        <w:t>E. 2.2.1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3e édition, Berne 2010, n. 9 ad art. 140 CP). Le brigandage n'est consommé que si le vol a été commis. Il s'agit d'une forme aggravée du vol qui se caractérise par les moyens employés par l'auteur (ATF 124 IV 102 consid. 2 p. 104).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 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op. cit., n. 10 et 11 ad art. 140 CP).</w:t>
      </w:r>
    </w:p>
    <w:p>
      <w:r>
        <w:t>- 10/23 - P/16318/2011</w:t>
      </w:r>
    </w:p>
    <w:p>
      <w:r>
        <w:rPr>
          <w:b/>
        </w:rPr>
        <w:t>E. 2.2.2</w:t>
      </w:r>
    </w:p>
    <w:p>
      <w:r>
        <w:t>L'aggravante de l'art. 140 ch. 2 CP vise le cas de celui qui, pour commettre un brigandage, emporte avec lui une arme dangereuse, sans qu'il soit nécessaire qu'il l'utilise ou qu'il ait la volonté de l'utiliser. Il suffit qu'il l'ait à disposition pour pouvoir au besoin s'en servir, par exemple à des fins d'intimidation (ATF 110 IV 77; arrêt du Tribunal fédéral 6B_890/2008 du 6 avril 2009 consid. 5.1) ou en vue de menacer autrui ou encore de couvrir sa fuite (ATF 118 IV 142, JT 1994 IV 101 consid. 3c). Par arme, on doit comprendre tout objet qui, d'après sa destination, peut être utilisé pour attaquer ou se défendre (ATF 117 IV 135 consid. 1c p. 138). La circonstance aggravante dépend du caractère objectivement dangereux de l'arme qui se déduit de critères objectifs et non de l'impression qu'elle produit sur la victime (ATF 113 IV 60 consid. 1a p. 61). Pour apprécier si une arme est dangereuse, il faut se référer à sa nature, à savoir, examiner si elle est propre à causer de graves lésions (ATF précité). C'est ainsi qu'a été considérée comme étant une arme dangereuse un couteau de cuisine muni d'une lame de 20 cm de long et de 4 cm de large (ZG GVP 1993/94 p. 152) mais pas un couteau de poche plié que l'on porte sur soi (ATF 117 IV 135 consid. 1c), pas plus qu'un couteau de poche de l'armée (BJP 1987 n° 263), pour autant qu'il ne soit pas possible de l'ouvrir d'une seule main (RSJ 101 (2005) p. 248).</w:t>
      </w:r>
    </w:p>
    <w:p>
      <w:r>
        <w:rPr>
          <w:b/>
        </w:rPr>
        <w:t>E. 2.3</w:t>
      </w:r>
    </w:p>
    <w:p>
      <w:r>
        <w:t>; R. SCHNEIDER / R. GARRÉ, Basler Kommentar, Strafrecht I, 2e éd., 2007, n. 59 ad art. 42). Pour autant, on ne saurait en déduire qu'ils ne suffisent jamais à fonder un pronostic défavorable.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t>- 15/23 - P/16318/2011 3.5.2 Il n'est pas contesté que la trajectoire récente suivie par l'appelant comporte des éléments positifs. Ainsi en est-il de sa prise de conscience récente de la nécessité de se soigner de ses addictions, alors qu'il était resté dans le déni jusqu'en 2011. Le nouveau regard porté par l'appelant n'est cependant pas spontané, dans la mesure où il a fallu que la juridiction d'appel laisse entrevoir une autre solution que la privation de liberté pour qu'il fasse un bout de chemin en ce sens. Son engagement de travailler est méritoire, même s'il reste à ce jour assez théorique et que l'appelant devra à terme confronter ce projet aux exigences de la vie professionnelle. L'appelant passe sous silence que les présents faits lui ayant valu sa condamnation ont eu lieu un peu plus d'une année après sa condamnation par le Tribunal de police pour des faits similaires, ce qui est préoccupant. On doit en déduire que la détention avant jugement ne lui avait pas pleinement fait prendre conscience de l'importance de respecter l'intégrité corporelle et la sécurité d'autrui. La proximité des deux événements, ajoutée au fait qu'il s'agit d'une récidive spéciale, constituent des éléments suffisamment déterminants pour que la Cour de céans se montre particulièrement exigeante, s'agissant de la mise en œuvre de l'exception voulue par le législateur. Rien dans le parcours récent de vie de l'appelant ne peut constituer des circonstances particulièrement favorables, au sens des exigences posées par l'art. 42 al. 2 CP, ses nouvelles responsabilités de père et sa détermination à se sortir de son addiction n'étant pas suffisamment enracinées pour fonder une exception à la règle, même si ce sont des signes encourageants pour le futur. Il convient aussi de ne pas oublier que ce sont des promesses faites en milieu carcéral protégé et que la confrontation à la réalité sera autrement plus probante. L'appelant se verra ainsi refuser le droit au bénéfice du sursis, fût-il partiel. 3.6.1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w:t>
      </w:r>
    </w:p>
    <w:p>
      <w:r>
        <w:t>- 16/23 - P/16318/2011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3.6.2 L'appelant a récidivé alors qu'il savait que la commission d'infractions de même nature l'exposait à la révocation du sursis octroyé. La récidive spéciale et l'absence d'une prise de conscience aboutie fondent un pronostic défavorable, sans qu'on puisse penser que la nouvelle peine aurait un effet dissuasif suffisant. En effet, les deux précédentes sanctions n'ont nullement atteint le but d’avertissement prêté. La révocation s'impose en présence d'un pronostic défavorable lié à la situation encore instable de l'appelant, sans perspectives claires d'activité professionnelle. Aucun élément ne ressort du dossier ou des déclarations de l'appelant qui autoriserait la juridiction d'appel à faire application de ce que la doctrine nomme la "clause de la seconde chance" (A. KUHN in : A. KUHN / L. MOREILLON / B. VIREDAZ / A. BICHOVSKY, La nouvelle partie générale du Code pénal, 2006, p. 230). C'est dès lors à juste titre que le sursis octroyé le 4 août 2010 a été révoqué.</w:t>
      </w:r>
    </w:p>
    <w:p>
      <w:r>
        <w:rPr>
          <w:b/>
        </w:rPr>
        <w:t>E. 2.4</w:t>
      </w:r>
    </w:p>
    <w:p>
      <w:r>
        <w:t>La description des faits commis à l'encontre du plaignant E.______ ne laisse guère de doute sur l'usage de la contrainte pour commette un vol, les éléments constitutifs du brigandage simple étant réalisés comme l'admet désormais l'appelant.</w:t>
      </w:r>
    </w:p>
    <w:p>
      <w:r>
        <w:t>- 11/23 - P/16318/2011 Le Tribunal correctionnel était-il pour autant habilité à retenir l'aggravante de l'autre arme dangereuse, dans la mesure où le Ministère public n'a retenu dans son acte d'accusation qu'une infraction à l'art. 140 ch. 1 al. 2 CP ? Les faits décrits, qui mentionnent la menace exercée au moyen d'une lame de couteau placée sous la gorge de la victime, attestent de l'intention du Ministère public de viser l'art. 140 ch. 2 CP, à l'instar de la teneur des débats en première instance qui ont largement porté sur l'aggravante de l'usage du couteau. L'appelant a d'ailleurs lui-même finalement admis les faits, après qu'ils eurent été débattus en audience. Cela étant, il est douteux que l'aggravante de l'art. 140 CP soit réalisée en l'espèce, eu égard à la jurisprudence restrictive applicable. Le couteau n'a jamais été décrit, sinon par l'appelant qui a parlé d'un couteau suisse, sans être formellement démenti sur ce point. Certes, la lame d'un couteau, fût-il petit, est en soi dangereuse, même s'il apparaît que l'auteur l'a en l'espèce utilisé pour faire avant tout peur, ainsi que la victime l'a admis. L'usage d'un couteau suisse dans les circonstances décrites réaliserait plutôt les conditions de l'art. 140 ch. 3 CP, le fait de placer un couteau sur la gorge de sa victime démontrant un comportement dépourvu de scrupules et d'une dangerosité particulière. Cette aggravante ne peut toutefois être retenue à la charge de l'appelant, en application de l'interdiction de la reformatio in pejus. Le jugement sera réformé, l'aggravante de l'art. 140 ch. 2 CP ne pouvant être retenue sans qu'un doute ne subsiste.</w:t>
      </w:r>
    </w:p>
    <w:p>
      <w:r>
        <w:rPr>
          <w:b/>
        </w:rPr>
        <w:t>E. 2.5</w:t>
      </w:r>
    </w:p>
    <w:p>
      <w:r>
        <w:t>L'appelant se fourvoie en revanche quand il conteste la réalité du brigandage commis à l'encontre de l'intimé B.______. La présence d'un couteau que la victime avait remarqué – comme l'appelant l'a finalement avoué en audience de jugement -, ajoutée à la menace proférée, a eu pour effet de faire peur à la victime, ce d'autant qu'elle était seule face à deux agresseurs. La réalité est celle d'une contrainte exercée pour consommer le vol d'effets personnels et non de l'usage d'un couteau pour ouvrir son propre téléphone portable, ainsi que l'allègue l'appelant.</w:t>
      </w:r>
    </w:p>
    <w:p>
      <w:r>
        <w:rPr>
          <w:b/>
        </w:rPr>
        <w:t>E. 2.6</w:t>
      </w:r>
    </w:p>
    <w:p>
      <w:r>
        <w:t>L'appelant a fui avec son passager après que la voiture volée qu'il conduisait a fait une embardée. L'argument lié à l'absence de blessés n'est pas pertinente, seul l'art. 92 al. 1 LCR ayant été retenu à juste titre par le Ministère public. Le doute qui proviendrait du fait de l'impossibilité de déterminer la personne du lésé ne saurait emporter la conviction. Le détenteur de la voiture volé était à l'évidence un lésé, son identité pouvant facilement être connue. La collectivité publique était une autre lésée facilement identifiable au regard des dommages commis sur le mobilier urbain. En tout état, la réalité de la commission de dégâts matériels ne pouvait échapper à l'appelant, fût-il sous l'effet de l'alcool. Son devoir consistait dès lors à attendre sur place l'arrivée de la police ou à solliciter son intervention, ce qu'il a voulu éviter en sachant qu'il était l'auteur de multiples et graves violations de la législation routière.</w:t>
      </w:r>
    </w:p>
    <w:p>
      <w:r>
        <w:rPr>
          <w:b/>
        </w:rPr>
        <w:t>E. 2.7</w:t>
      </w:r>
    </w:p>
    <w:p>
      <w:r>
        <w:t>Au regard de ce qui précède et outre les infractions non contestées en appel, l'appelant sera reconnu coupable de deux brigandages (art. 140 ch. 1 CP [ch. II.1 et II.2 de l'acte d'accusation]) et d'une violation des devoirs en cas d'accident [ch. VIII].</w:t>
      </w:r>
    </w:p>
    <w:p>
      <w:r>
        <w:t>- 12/23 - P/16318/2011</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5.1).47.18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t>- 13/23 - P/16318/2011</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3.4</w:t>
      </w:r>
    </w:p>
    <w:p>
      <w:r>
        <w:t>En l’espèce, comme l'ont relevé les premiers juges, la faute de l’appelant est importante. Agissant par appât du gain facile, il s’est livré, en l'espace de deux mois, à deux brigandages, outre une violation caractérisée de la législation routière, prenant la route dans des conditions et des circonstances propres à provoquer un grave danger pour les autres usagers. Le modus operandi des brigandages était particulièrement lâche, puisque l'appelant s'en est pris à de jeunes victimes pour les détrousser de leurs téléphones portables ou des écouteurs. L’appelant a usé d’intimidation, au risque de causer des traumatismes aux victimes. Seule son arrestation a mis fin à son comportement coupable, ce qui dénote une intensité délictuelle certaine. Sa situation personnelle difficile ne justifie en rien les actes commis. A l'automne 2011, date de la commission des délits, l'appelant semblait installé dans la délinquance, sans manifester d'intention d'en sortir. Il a admis les faits avec beaucoup de réserves et de nuances, allant jusqu'à en contester une partie significative jusqu'à la phase de l'appel. Ses antécédents judiciaires sont mauvais. Il a été condamné à trois reprises depuis le mois de décembre 2009, dont deux fois pour des faits de nature spécifique. Ces décisions ne l’ont pas dissuadé de récidiver, bien qu'il ait bénéficié deux fois de mesures de sursis et qu'à une reprise déjà, le sursis ait été révoqué. Aucune des circonstances atténuantes prévues par l'art. 48 CP n'est réalisée. Il y a concours d'infractions au sens de l'art. 49 CP, ce qui justifie une augmentation de la peine dans une juste proportion. Quasi inexistante pendant la phase de l’instruction préliminaire, la prise de conscience en est désormais au stade de l'ébauche, l’appelant disant aujourd'hui comprendre la gravité de ses actes et exprimant des regrets. Sa paternité participe à ce nouvel état d'esprit de même que son incarcération prolongée. Ses velléités de se soumettre à des mesures effectives tendant à lui permettre de résoudre son addiction sont de bon augure, ainsi que son accord pour des contrôles réguliers. A sa décharge, il convient aussi de tenir compte de son parcours de vie marqué par des carences au plan affectif liées à la perte douloureuse de ses deux parents, de son jeune âge au moment des faits et des regrets évoqués. Il faut aussi prendre en considération les effets de la peine sur son avenir en considérant aussi bien l’effet dissuasif d’une sanction à l’aune de la gravité de la faute et, inversement, l’absence de valeur éducative d’une peine excessivement clémente. L'appelant peut semble-t-il</w:t>
      </w:r>
    </w:p>
    <w:p>
      <w:r>
        <w:t>- 14/23 - P/16318/2011 bénéficier de l'aide d'une partie de sa famille, même si ses soeurs ont pu être échaudées par ses multiples incartades antérieures. Il convient aussi de tenir compte de la responsabilité légèrement restreinte retenue par l'expert, sans que des motifs dirimants ne justifient une autre appréciation. Il y a lieu pour le surplus de faire application de l'art. 404 al. 2 CPP pour constater, nonobstant l'absence de toutes conclusions en ce sens, que la présente condamnation est complémentaire à celle du 15 décembre 2011 émanant du Ministère public de l'arrondissement de l'Est vaudois, Vevey. Au regard de l’ensemble de ces circonstances, la peine de trente mois sera réduite à deux ans de privation de liberté, s'agissant d'une peine complémentaire. 3.5.1 L'appelant demande à être mis au bénéfice du sursis partiel.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7). L'art. 42 al. 2 CP ne s'applique qu'en présence d'une seule condamnation antérieure, (…). Ce qui est déterminant, c'est que l'auteur ait commis une infraction d'une certaine gravité, et non plus – comme sous l'ancien droit – qu'il ait purgé une peine privative de liberté d'une certaine longueur (arrêt du Tribunal fédéral 6B_812/2009 du 18 février 2010 consid. 2.1). Dans le cadre du pronostic déterminant l'octroi du sursis, les antécédents pénaux ne constituent qu'un élément parmi d'autres. Ils ne l'emportent pas nécessairement sur les autres considérations pertinentes (arrêt 6B_569/2008 du 24 mars 2009 consid.</w:t>
      </w:r>
    </w:p>
    <w:p>
      <w:r>
        <w:rPr>
          <w:b/>
        </w:rPr>
        <w:t>E. 3.4.4</w:t>
      </w:r>
    </w:p>
    <w:p>
      <w:r>
        <w:t>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déjà ATF 118 IV 108 consid. 2a p. 113 et les références citées). Selon l'art. 57 al. 1 et 2 CP, si les conditions sont remplies aussi bien pour le prononcé d’une peine que pour celui d’une mesure, le juge ordonne les deux sanctions.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t>- 19/23 - P/16318/2011 Si la peine n’est pas compatible avec le traitement, le juge peut suspendre, au profit d’un traitement ambulatoire, l’exécution d’une peine privative de liberté ferme prononcée en même temps que le traitement ou l’exécution d’une peine privative de liberté devenue exécutoire à la suite de la révocation du sursis et l’exécution du solde de la peine devenu exécutoire en raison d’une décision de réintégration (al. 2). La suspension de la peine revêt toutefois un caractère exceptionnel. Cela ressort du principe de subsidiarité des mesures, prévu par l’art. 56 al. 1 lit. a CP.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p. 162-163 et 4.3 p. 165).</w:t>
      </w:r>
    </w:p>
    <w:p>
      <w:r>
        <w:rPr>
          <w:b/>
        </w:rPr>
        <w:t>E. 4.1</w:t>
      </w:r>
    </w:p>
    <w:p>
      <w:r>
        <w:t>À teneur de l'art. 5 al. 1 CPP, les autorités pénales engagent les procédures pénales sans délai et les mènent à terme sans retard injustifié.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En vertu du principe de célérité, une incarcération apparaît disproportionnée lors d'un retard injustifié dans le cours de la procédure pénale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128 I 149 consid. 2.2 p. 151/152). Il y a aussi lieu de relever que c'est au juge de fond qu'il appartient, le cas échéant, par une réduction de peine, de tenir compte de la violation de l'obligation de célérité (ATF 128 I 149 c. 2.2.2 p. 152 ; DCPR/111/2011 du 19 mai 2011 ; ACC/40/2010 du 9 juillet 2010 confirmé par ACAS/23/2011 du 31 mars 2011). L'art. 29 al. 1 Cst. garantit notamment à toute personne, dans une procédure judiciaire ou administrative, le droit à ce que sa cause soit traitée dans un délai raisonnable. À l'instar de l'art. 6 par. 1 CEDH, qui n'offre, à cet égard, pas une</w:t>
      </w:r>
    </w:p>
    <w:p>
      <w:r>
        <w:t>- 17/23 - P/16318/2011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(arrêt du Tribunal fédéral 6B_490/2011 du 14 mai 2012 consid. 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(arrêt du Tribunal fédéral 6B_490/2011 du 14 mai 2012 consid. 3 et les arrêts cités ; ACPR/99/2013 du 13 mars 2013). Dans un cas d'application de l'art. 233 CPP, le Tribunal fédéral a rappelé que l'autorité d'appel devait se montrer d'autant plus attentive au respect des principes de proportionnalité et de célérité et s'efforcer de statuer dans les meilleurs délais si la détention subie par l'appelant dépassait d'ores et déjà la durée de la peine privative de liberté ferme prononcée en première instance (arrêt 1B_338/2013 du 16 octobre 2013, consid. 4.2).</w:t>
      </w:r>
    </w:p>
    <w:p>
      <w:r>
        <w:rPr>
          <w:b/>
        </w:rPr>
        <w:t>E. 4.2</w:t>
      </w:r>
    </w:p>
    <w:p>
      <w:r>
        <w:t>Il est douteux que la juridiction d'appel soit compétente pour apprécier elle-même le respect du principe de célérité, ce qui reviendrait à fournir une appréciation sur sa propre activité voire, en l'occurrence, sur celle de l'expert pendant la phase de l'appel. La juridiction d'appel a fait preuve de diligence en relançant à deux reprises l'expert qui tardait à rendre son rapport. Elle a d'office initié une expertise, en partant de la prémisse favorable à l'appelant selon laquelle il serait souhaitable, eu égard aux caractéristiques de sa situation et de sa trajectoire, d'offrir à l'autorité de jugement une alternative à la seule privation de liberté. Le respect du principe de célérité doit être apprécié d'une manière moins stricte à ce stade de la procédure, puisque le jugement de première instance a déjà fourni une première réponse à la culpabilité de l'appelant. Au surplus, la détention subie à ce jour est inférieure à la peine infligée en première instance, révocation du sursis comprise (plus de 720 jours de détention avant jugement à rapporter à 4 ans et demi</w:t>
      </w:r>
    </w:p>
    <w:p>
      <w:r>
        <w:t>- 18/23 - P/16318/2011 de peine privative de liberté). Le même raisonnement vaut mutatis mutandis au regard de la peine après la procédure d'appel. Il n'y a donc pas lieu d'entrer en matière sur l'éventuelle violation du respect du principe de célérité, la présente procédure ayant été menée avec la diligence requise au regard de l'ensemble des circonstances, l'audience d'appel ayant dû être reportée d'un mois à la demande de l'appelant.</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[ATF 134 IV 121 consid.</w:t>
      </w:r>
    </w:p>
    <w:p>
      <w:r>
        <w:rPr>
          <w:b/>
        </w:rPr>
        <w:t>E. 5.2</w:t>
      </w:r>
    </w:p>
    <w:p>
      <w:r>
        <w:t>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Si les conditions de l'art. 61 CP sont remplies, le juge est tenu d'ordonner ce placement (arrêt du Tribunal fédéral 6B_475/2009 du 26 août 2009 consid. 1.1.2.3).</w:t>
      </w:r>
    </w:p>
    <w:p>
      <w:r>
        <w:rPr>
          <w:b/>
        </w:rPr>
        <w:t>E. 5.3</w:t>
      </w:r>
    </w:p>
    <w:p>
      <w:r>
        <w:t>Selon l'expertise psychiatrique du 9 juillet 2013, l'appelant présente des traits de personnalité immature, sans que les éléments mis en évidence soient tels qu'ils soient de nature à fonder un trouble du développement de la personnalité à proprement parler. L'examen de l'expertisé évoque une addiction et une intoxication au moment des faits. Sa responsabilité était faiblement restreinte et il existait un risque de récidive d'actes violents en raison de ses traits immatures et de ses difficultés d'adaptation à la vie d'adulte, augmentés par le risque de consommation d'alcool. D'après l'expert, l'appelant doit bénéficier d'un suivi addictologique dans le but de</w:t>
      </w:r>
    </w:p>
    <w:p>
      <w:r>
        <w:t>- 20/23 - P/16318/2011 l'aider à se maîtriser ainsi qu'à prévenir ou à éviter une consommation excessive d'alcool et de stupéfiants, ainsi que d'un soutien psychothérapeutique concomitant par rapport à ses difficultés d'adaptation à la vie d'adulte. Conformément aux conclusions de l'expertise, il se justifie de soumettre l’appelant à une mesure psychothérapeutique, combinée à des contrôles biologiques réguliers, mesures qui ont reçu l'agrément de l'appelant. Au regard du principe de proportionnalité, cette mesure peut, en l’état, être exécutée sous la forme d’un traitement ambulatoire, le placement en maison d'éducation au travail, solution envisagée au stade de l'appel, ne pouvant entrer en ligne de compte pour les motifs expliqués par l'expert. Ce traitement est essentiel, afin que l’appelant apprenne à trouver ses marques dans sa vie d'adulte et à maitriser sa consommation d'alcool, de manière à prévenir le risque de récidive. La fréquence des entretiens sera laissée à l’appréciation du thérapeute, leur suivi étant placé sous le contrôle des autorités administratives compétentes. Le jugement querellé sera complété sur ce point. Le traitement ambulatoire sera ordonné pour une durée indéterminée (art. 63 CP), sous forme d'un suivi médical addictologique, comprenant des contrôles biologiques réguliers, et d'un soutien psychothérapeutique. Il n'y a pas lieu de suspendre la peine privative de liberté fixée au profit du traitement ordonné qui est compatible avec la détention, la présente situation ne présentant pas un caractère exceptionnel requis par la jurisprudence.</w:t>
      </w:r>
    </w:p>
    <w:p>
      <w:r>
        <w:rPr>
          <w:b/>
        </w:rPr>
        <w:t>E. 6</w:t>
      </w:r>
    </w:p>
    <w:p>
      <w:r>
        <w:t>Pour plus de clarté, le dispositif de jugement sera entièrement annulé et reformulé.</w:t>
      </w:r>
    </w:p>
    <w:p>
      <w:r>
        <w:rPr>
          <w:b/>
        </w:rPr>
        <w:t>E. 7</w:t>
      </w:r>
    </w:p>
    <w:p>
      <w:r>
        <w:t>L'appelant, qui succombe pour l'essentiel, sera condamné aux deux tiers des frais de la procédure d'appel, qui comprennent un émolument de jugement de CHF 2'500.– (art. 428 al. 1 CPP et 14 al. 1 let. e du Règlement fixant le tarif des frais en matière pénale ; E 4 10.03), le solde des frais étant laissé à la charge de l'Etat. * * * * *</w:t>
      </w:r>
    </w:p>
    <w:p>
      <w:r>
        <w:t>- 21/23 - P/16318/2011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