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AARP/557/2013 vom 18. November 2013</w:t>
      </w:r>
    </w:p>
    <w:p>
      <w:r>
        <w:t>GE Cour de justice, 2013-11-18, FR</w:t>
      </w:r>
    </w:p>
    <w:p>
      <w:r>
        <w:rPr>
          <w:b/>
        </w:rPr>
        <w:t xml:space="preserve">Quelle: </w:t>
      </w:r>
      <w:r>
        <w:t>https://mcp.opencaselaw.ch/entscheid/ge_gerichte_AARP_557_2013</w:t>
      </w:r>
    </w:p>
    <w:p>
      <w:r>
        <w:t>FR: GE_GERICHTE AARP/557/2013 du 18 novembre 2013</w:t>
      </w:r>
    </w:p>
    <w:p>
      <w:r>
        <w:t>IT: GE_GERICHTE AARP/557/2013 del 18 novembre 2013</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1.3</w:t>
      </w:r>
    </w:p>
    <w:p>
      <w:r>
        <w:t>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2.1</w:t>
      </w:r>
    </w:p>
    <w:p>
      <w:r>
        <w:t>L’appelant soutient que l’interdiction de la mendicité constitue une atteinte inadmissible à sa liberté d’expression, et en particulier, de communication.</w:t>
      </w:r>
    </w:p>
    <w:p>
      <w:r>
        <w:rPr>
          <w:b/>
        </w:rPr>
        <w:t>E. 2.2</w:t>
      </w:r>
    </w:p>
    <w:p>
      <w:r>
        <w:t>Selon l'art. 10 § 1 de la Convention de sauvegarde des droits de l’homme et des libertés fondamentales du 4 novembre 1950 (CEDH ; RS 0.101), toute personne a droit à la liberté d'expression. Ce droit comprend la liberté d'opinion et la liberté de</w:t>
      </w:r>
    </w:p>
    <w:p>
      <w:r>
        <w:t>- 6/13 - P/16541/2012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Dans un arrêt du 30 juin 2012 (G155/10-9), la Cour constitutionnelle autrichienne a fait la distinction entre la mendicité active et la mendicité passive, soit entre le fait de demander l'aumône de façon agressive et le fait de le faire de manière discrète et non agressive, par des paroles, par des symboles ou par d'autres formes d'expression. Ladite Cour a considéré que l'interdiction absolue de la mendicité, sans distinction aucune entre mendicité passive et active, constituait une violation de la liberté d'expression. Elle a expliqué que le fait de mendier doit être considéré comme la simple expression d'une réalité, soit que la personne mendiante est dans l'indigence et qu'elle fait appel à l'obligeance des passants, pour autant que cela soit fait de manière passive, soit de manière discrète et non agressive.</w:t>
      </w:r>
    </w:p>
    <w:p>
      <w:r>
        <w:rPr>
          <w:b/>
        </w:rPr>
        <w:t>E. 2.3</w:t>
      </w:r>
    </w:p>
    <w:p>
      <w:r>
        <w:t>La Chambre de céans n’est pas liée par la décision autrichienne citée par l’appelant. Au demeurant, et comme l’a relevé le premier juge, la mendicité suppose en principe un comportement actif consistant à réclamer de l’argent aux passants en les interpellant et en leur tendant parfois un gobelet. En tout état de cause, dans ses arrêts du 17 août 2012, le Tribunal fédéral a retenu que l’art. 11A LPG constituait une base légale suffisante pour interdire toute mendicité. Cette interdiction n’empêche d’ailleurs aucunement l’appelant d’exprimer ou de faire connaître sa situation sociale au public de toute autre manière, notamment au travers de l’association de défense des intérêts de la communauté rom, de sorte qu’il n’y a là aucune restriction inadmissible de sa liberté d’expression ou de communication. Par conséquent, ce grief, infondé, doit être rejeté.</w:t>
      </w:r>
    </w:p>
    <w:p>
      <w:r>
        <w:rPr>
          <w:b/>
        </w:rPr>
        <w:t>E. 3.1</w:t>
      </w:r>
    </w:p>
    <w:p>
      <w:r>
        <w:t>L’appelant soutient aussi que l’interdiction de la mendicité constitue un traitement discriminatoire indirect en raison de sa race et de sa situation sociale.</w:t>
      </w:r>
    </w:p>
    <w:p>
      <w:r>
        <w:rPr>
          <w:b/>
        </w:rPr>
        <w:t>E. 3.2</w:t>
      </w:r>
    </w:p>
    <w:p>
      <w:r>
        <w:t>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w:t>
      </w:r>
    </w:p>
    <w:p>
      <w:r>
        <w:t>- 7/13 - P/16541/2012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(arrêts du Tribunal fédéral du 17 août 2012). En matière de discrimination, même lorsque le fardeau de la preuve est allégé, il incombe à celui qui allègue une discrimination de la rendre tout au moins vraisemblable (ibid.).</w:t>
      </w:r>
    </w:p>
    <w:p>
      <w:r>
        <w:rPr>
          <w:b/>
        </w:rPr>
        <w:t>E. 3.3</w:t>
      </w:r>
    </w:p>
    <w:p>
      <w:r>
        <w:t>En l'espèce, l'art. 11A LPG ne comporte aucune référence expresse à un caractère discriminatoire et, comme l'a souligné le Tribunal fédéral, aucun élément concret ne révèle une quelconque forme de discrimination indirecte à l'encontre de la communauté rom, à laquelle appartient l'appelant. En particulier, rien ne laisse penser que la norme litigieuse n'est appliquée qu'aux mendiants d'origine rom, ni que les mendiants, non roms, bénéficient d'une forme d'impunité. Le simple fait que de nombreux mendiants roms ont été amendés à Genève ne rend pas encore vraisemblable une discrimination indirecte (cf. arrêts du Tribunal fédéral du 17 août 2012 considérant 3.4 respectivement 4.4). L'appelant fait aussi valoir que la norme litigieuse consacre une discrimination sociale, dans la mesure où elle vise de manière prépondérante les pauvres et contribue à les stigmatiser. Il est douteux que le dénuement de l'appelant soit de nature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consid. 4.3 p. 313, JdT 2011 I 52, 57; ATF 135 I 49 consid. 4.4 p. 55s, JdT 2009 I 655, 661; ATF 132 I 49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J 4 04), permet de retenir que pour la très grande majorité des personnes qui</w:t>
      </w:r>
    </w:p>
    <w:p>
      <w:r>
        <w:t>- 8/13 - P/16541/2012 s'y livrent, l'interdiction de la mendicité ne les priverait pas du minimum nécessaire, mais d'un revenu d'appoint, même si des exceptions restent toujours possibles (ATF 134 I 214). Infondé, ce grief doit ainsi être rejeté.</w:t>
      </w:r>
    </w:p>
    <w:p>
      <w:r>
        <w:rPr>
          <w:b/>
        </w:rPr>
        <w:t>E. 4.1</w:t>
      </w:r>
    </w:p>
    <w:p>
      <w:r>
        <w:t>L'appelant invoque une restriction injustifiée à sa liberté personnelle et une atteinte à sa dignité humaine (art. 7, 10 et 36 al. 3 Cst. et 8 CEDH), son extrême pauvreté le contraignant à demander l'aumône.</w:t>
      </w:r>
    </w:p>
    <w:p>
      <w:r>
        <w:rPr>
          <w:b/>
        </w:rPr>
        <w:t>E. 4.2</w:t>
      </w:r>
    </w:p>
    <w:p>
      <w:r>
        <w:t>Dans les arrêts du 17 août 2012 (consid. 4 respectivement consid. 5), le Tribunal fédéral a écarté ce moyen, lequel avait été examiné de manière détaillée dans l'ATF 134 I 214 relatif à l'examen de la conformité abstraite de la réglementation genevoise à ces garanties. Il a rappelé à ce sujet que la législation sociale existante avait pour but d'éviter que des personnes ne tombent dans le dénuement et soient contraintes de s'adonner à la mendicité, et a relevé qu'aucun des recourants n'avait allégué ni établi avoir introduit des demandes individuelles tendant à l'obtention de l'aide sociale et encore moins que de telles aides leur auraient été refusées. On relèvera encore que l'art. 11 du Pacte international relatif aux droits économiques, sociaux et culturels (Pacte ONU I; RS 0.103.1), qui garantit le droit de toute personne à un niveau de vie suffisant pour elle-même et sa famille, s'adresse au législateur national qui doit prendre les mesures appropriées pour assurer la réalisation de cette garantie et n'est pas self executing (cf. ATF 136 I 290, consid. 2.3.1 et les références). Ce grief est aussi rejeté.</w:t>
      </w:r>
    </w:p>
    <w:p>
      <w:r>
        <w:rPr>
          <w:b/>
        </w:rPr>
        <w:t>E. 5.1</w:t>
      </w:r>
    </w:p>
    <w:p>
      <w:r>
        <w:t>L'appelant soutient encore que l'infraction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L'appelant, dans ce contexte, cite une norme fribourgeoise réprimant comme suit la mendicité : "La personne qui, par cupidité ou fainéantise, mendie ou envoie mendier des enfants ou des personnes sur lesquelles elle a autorité est punie de l'amende" (art. 13 de la loi fribourgeoise d'application du Code pénal du 6 octobre 2006). Il s'ensuivrait une discrimination de la norme genevoise appliquée aux seuls membres de la communauté rom.</w:t>
      </w:r>
    </w:p>
    <w:p>
      <w:r>
        <w:rPr>
          <w:b/>
        </w:rPr>
        <w:t>E. 5.2</w:t>
      </w:r>
    </w:p>
    <w:p>
      <w:r>
        <w:t>Le principe nulla poena sine lege,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w:t>
      </w:r>
    </w:p>
    <w:p>
      <w:r>
        <w:t>- 9/13 - P/16541/2012 du droit pénal (ATF 112 Ia 107 consid. 3a p. 112 et les références). L'exigence de précision (nulla poena sine lege certa) constitue l'une des facettes du principe de la légalité. Elle impose que le comportement réprimé soit suffisamment circonscrit (cf. ATF 117 Ia 472 consid. 4c p. 489).</w:t>
      </w:r>
    </w:p>
    <w:p>
      <w:r>
        <w:rPr>
          <w:b/>
        </w:rPr>
        <w:t>E. 5.3</w:t>
      </w:r>
    </w:p>
    <w:p>
      <w:r>
        <w:t>Le Tribunal fédéral a jugé que l'art. 11A LPG, en usant des termes de mendier et mendicité, vise sans ambiguïté le fait de solliciter une aide financière pour remédier à une situation de dénuement (arrêts du Tribunal fédéral du 17 août 2012 consid. 5, respectivement 6). Le fait que d'autres législations cantonales, tout en se référant à la même notion de mendicité ("mendie ou envoie mendier"), en soumettent la répression à d'autres conditions ("par cupidité ou fainéantise"), ne change rien à l'interprétation de la règle cantonale genevoise. En l'espèce, l'appelant, qui justifie ses actes par sa grande pauvreté, quémandait de l'argent aux passants, en leur tendant notamment un gobelet. Son comportement correspond ainsi au sens le plus clair et le plus littéral de la norme. Le grief est donc infondé.</w:t>
      </w:r>
    </w:p>
    <w:p>
      <w:r>
        <w:rPr>
          <w:b/>
        </w:rPr>
        <w:t>E. 5.4</w:t>
      </w:r>
    </w:p>
    <w:p>
      <w:r>
        <w:t>Au vu de ce qui précède, c’est à bon droit que le premier juge a reconnu l’appelant coupable de mendicité. Sa décision doit être confirmée.</w:t>
      </w:r>
    </w:p>
    <w:p>
      <w:r>
        <w:rPr>
          <w:b/>
        </w:rPr>
        <w:t>E. 6.1</w:t>
      </w:r>
    </w:p>
    <w:p>
      <w:r>
        <w:t>L'appelant a été reconnu coupable d'infraction à l'art. 42 RPSS pour avoir contrevenu à l'art. 4 RPSS, interdisant de répandre ou déposer sur les voies et promenades publiques, de même que dans les chemins privés, des immondices, balayures, résidus et débris quelconques, matériaux, ferrailles et autres objets, notamment les récipients à ordures ainsi que toutes matières pouvant produire des émanations désagréables, insalubres ou dangereuses. Le Tribunal a également considéré qu'il avait enfreint l'art. 1 RTP, lequel dispose que tout excès de bruit de nature à troubler la tranquillité publique est interdit (al. 1) et que, de nuit, chacun [devra] s’abstenir de provoquer des bruits pouvant troubler le repos des habitants (al. 2), étant précisé que la prohibition des bruits ou excès de bruit s’étend aussi bien à ceux qui prennent naissance sur le domaine privé qu’à ceux qui prennent naissance sur le domaine public (al. 3), se rendant ainsi coupable d'infraction à l'art. 12 RTP. A cet égard, le premier juge a rappelé qu'il était reproché au prévenu d'avoir, le 2 avril 2011, à 16h29, à l'avenue d'Aïre 7, hurlé alors qu'il se battait avec un compatriote et laissé des bouteilles de vin rouge vides sur la chaussée, puis d'avoir, le lendemain, à 22h05, à la rue Beulet 10, eu un comportement similaire en hurlant sans raison alors qu'il se trouvait sur un banc public, tout en laissant traîner une canette de bière vide sur la chaussée, étant aviné dans les deux cas. Il a relevé que le prévenu reconnaissait avoir hurlé de façon inappropriée sur la chaussée aux dates et heures précitées et avoir ainsi troublé la tranquillité publique. De même, l'intéressé n'avait pas non plus contesté avoir laissé des bouteilles et une canette vides sur la chaussée, mais prétendait n'avoir pas eu le temps de les ramasser</w:t>
      </w:r>
    </w:p>
    <w:p>
      <w:r>
        <w:t>- 10/13 - P/16541/2012 avant l'intervention policière, explications qui n'emportaient pas la conviction du Tribunal, dès lors qu'en "laissant des bouteilles et une canette vides, à terre, après consommation, le prévenu n'a pas démontré la volonté de procéder à leur dépôt dans une poubelle ou autre benne appropriée mais bien plutôt celle de s'en débarrasser de la sorte".</w:t>
      </w:r>
    </w:p>
    <w:p>
      <w:r>
        <w:rPr>
          <w:b/>
        </w:rPr>
        <w:t>E. 6.2</w:t>
      </w:r>
    </w:p>
    <w:p>
      <w:r>
        <w:t>L'appelant n'a aucunement contesté ces infractions dans son mémoire d'appel et apparaît donc avoir abandonné ses griefs s'y rapportant. Il n'a en tous les cas aucunement démontré en quoi les décisions du premier juge seraient arbitraires dans leur motivation et encore moins dans leur résultat. Le jugement entrepris doit donc être confirmé sur ces points.</w:t>
      </w:r>
    </w:p>
    <w:p>
      <w:r>
        <w:rPr>
          <w:b/>
        </w:rPr>
        <w:t>E. 6.3</w:t>
      </w:r>
    </w:p>
    <w:p>
      <w:r>
        <w:t>Il était encore reproché au prévenu d'avoir contrevenu à l'art. 32 RPSS, en relation avec les faits des 21 juin et 24 septembre 2011, en refusant de s'exécuter après la sommation qui lui avait été faite par la police de quitter les lieux pour avoir été une cause de perturbation sur la voie publique, mais il a été acquitté au bénéfice du doute de ces infractions, sur lesquelles il n'y a par conséquent pas lieu de revenir.</w:t>
      </w:r>
    </w:p>
    <w:p>
      <w:r>
        <w:t>Le verdict de culpabilité retenu en première instance doit ainsi être intégralement confirmé.</w:t>
      </w:r>
    </w:p>
    <w:p>
      <w:r>
        <w:rPr>
          <w:b/>
        </w:rPr>
        <w:t>E. 7.1</w:t>
      </w:r>
    </w:p>
    <w:p>
      <w:r>
        <w:t>Tout comme l'art. 42 RPSS et l'art. 12 RTP, l'art. 11A LPG prévoit, à titre de sanction, l'amende d'un montant maximum de CHF 10'000.- (art. 106 al. 1 CP) et le prononcé d’une peine privative de liberté de substitution (al. 2), fixées en tenant compte de la situation du condamné, de façon à constituer une peine correspondant à la faute commise (al. 3).</w:t>
      </w:r>
    </w:p>
    <w:p>
      <w:r>
        <w:rPr>
          <w:b/>
        </w:rPr>
        <w:t>E. 7.2</w:t>
      </w:r>
    </w:p>
    <w:p>
      <w:r>
        <w:t>En l’occurrence, l’amende a été fixée à CHF 800.- pour une soixantaine d'infractions sanctionnées chacune initialement d’une amende de CHF 100.- et même de CHF 300.- s'agissant de celles commises les 2 et 3 avril 2011. Ce montant est adéquat, voire clément, et n’a d’ailleurs pas été critiqué en tant que tel. Il en est de même de la peine privative de liberté de substitution, fixée à huit jours.</w:t>
      </w:r>
    </w:p>
    <w:p>
      <w:r>
        <w:rPr>
          <w:b/>
        </w:rPr>
        <w:t>E. 8</w:t>
      </w:r>
    </w:p>
    <w:p>
      <w:r>
        <w:t>L'appelant conteste encore la confiscation des montants de CHF 20.- et de CHF 7.- qui ont été saisis les 29 juillet 2010 et 6 juin 2011 et sollicite leur restitution avec intérêts moratoires à 5 % dès ces mêmes dates.</w:t>
      </w:r>
    </w:p>
    <w:p>
      <w:r>
        <w:rPr>
          <w:b/>
        </w:rPr>
        <w:t>E. 8.1</w:t>
      </w:r>
    </w:p>
    <w:p>
      <w:r>
        <w:t>Aux termes de l'art. 263 CPP, des objets et des valeurs patrimoniales appartenant au prévenu ou à des tiers peuvent être mis sous séquestre, lorsqu'il est probable : a. qu'ils seront utilisés comme moyens de preuves; b. qu'ils seront utilisés pour garantir le paiement des frais de procédure, des peines pécuniaires, des amendes et des indemnités; c. qu'ils devront être restitués au lésé; d. qu'ils devront être confisqués (alinéa 1). Le séquestre est ordonné par voie d'ordonnance écrite, brièvement motivée. En cas d'urgence, il peut être ordonné oralement; toutefois, par la suite, l'ordre doit être confirmé par écrit (alinéa 2). Lorsqu'il y a péril en la demeure, la police ou des particuliers peuvent provisoirement mettre en sûreté des objets et des valeurs patrimoniales à l'intention du ministère public ou du tribunal (alinéa 3).</w:t>
      </w:r>
    </w:p>
    <w:p>
      <w:r>
        <w:t>- 11/13 - P/16541/2012 Il résulte ainsi de cette disposition que, lorsque l'une des conditions énumérées aux lettres a) à d) est remplie et qu'il y a péril en la demeure, la police peut procéder à une mise en sûreté des objets ou des valeurs patrimoniales.</w:t>
      </w:r>
    </w:p>
    <w:p>
      <w:r>
        <w:t>Selon l'art. 70 al. 1 CP, les valeurs patrimoniales qui sont le résultat d'une infraction doivent être saisies par le juge, si elles ne doivent pas être restituées au lésé en rétablissement de ses droits.</w:t>
      </w:r>
    </w:p>
    <w:p>
      <w:r>
        <w:t>Dans un cas similaire à celui de l'appelant, la Chambre pénale de recours a jugé qu'en application de l'art. 263 al. 3 CPP, les sommes détenues par une personne se livrant à la mendicité pouvaient être séquestrées par la police en vue de confiscation ultérieure dans la mesure où il s'agissait du produit de son activité illicite (OCPR/31/2011 du 30 septembre 2011 consid. 2.2).</w:t>
      </w:r>
    </w:p>
    <w:p>
      <w:r>
        <w:rPr>
          <w:b/>
        </w:rPr>
        <w:t>E. 8.2</w:t>
      </w:r>
    </w:p>
    <w:p>
      <w:r>
        <w:t>En l'espèce, l'appelant n'a pas recouru contre les ordonnances de séquestre rendues le 8 octobre 2012 par le Service des contraventions et qui ont apparemment été notifiées à son conseil par plis recommandés expédiés le même jour, de sorte qu'il ne peut plus contester ces décisions à ce stade de la procédure, lesquelles respectent la forme et les exigences de motivation prévues à l'art. 263 al. 2 CPP. Par ailleurs, le Tribunal a considéré qu'il convenait de procéder "à la confiscation des sommes de CHF 20.- et CHF 7.- saisies en lien avec les ordonnances pénales nos 26______ et 72______, dans la mesure où rien dans le dossier, hormis les allégations du prévenu, ne permet de penser que ces sommes ne proviendraient pas directement des infractions de mendicité commises par le prévenu (art. 70 al. 1 CP)". A nouveau, l'appelant ne critique pas cette décision, mais se borne à faire valoir qu'en raison de son extrême pauvreté, la somme saisie devait être déclarée insaisissable en vertu de l'art. 268 al. 3 CPP. Or, comme cela ressort du titre de cette disposition et de son premier alinéa, elle s'applique uniquement aux valeurs patrimoniales qui sont séquestrées en vue de couvrir les frais de procédure et les indemnités à verser (let. a) ou les peines pécuniaires et les amendes (let. b), à l'exclusion de celles qui le sont en vue de leur confiscation, à l'instar du produit de l'infraction au sens de l'art. 70 al. 1 CP.</w:t>
      </w:r>
    </w:p>
    <w:p>
      <w:r>
        <w:t>L'appel sera par conséquent aussi rejeté sur ce point.</w:t>
      </w:r>
    </w:p>
    <w:p>
      <w:r>
        <w:rPr>
          <w:b/>
        </w:rPr>
        <w:t>E. 9</w:t>
      </w:r>
    </w:p>
    <w:p>
      <w:r>
        <w:t>L’appelant, qui succombe, sera condamné aux frais de la procédure d’appel, comprenant un émolument de décision de CHF 1'000.- (art. 428 al. 1 CPP et 14 al. 1 let. e du règlement fixant le tarif des frais en matière pénale du 22 décembre 2010 [RTFMP ; RS E 4 10.03]).</w:t>
      </w:r>
    </w:p>
    <w:p>
      <w:r>
        <w:t>* * * * *</w:t>
      </w:r>
    </w:p>
    <w:p>
      <w:r>
        <w:t>- 12/13 - P/16541/2012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