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AARP/54/2019 vom 7. Februar 2019</w:t>
      </w:r>
    </w:p>
    <w:p>
      <w:r>
        <w:t>GE Cour de justice, 2019-02-07, FR</w:t>
      </w:r>
    </w:p>
    <w:p>
      <w:r>
        <w:rPr>
          <w:b/>
        </w:rPr>
        <w:t xml:space="preserve">Quelle: </w:t>
      </w:r>
      <w:r>
        <w:t>https://mcp.opencaselaw.ch/entscheid/ge_gerichte_AARP_54_2019</w:t>
      </w:r>
    </w:p>
    <w:p>
      <w:r>
        <w:t>FR: GE_GERICHTE AARP/54/2019 du 7 février 2019</w:t>
      </w:r>
    </w:p>
    <w:p>
      <w:r>
        <w:t>IT: GE_GERICHTE AARP/54/2019 del 7 febbraio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À teneur de l'art. 115 al. 1 let. b LEtr, est puni d'une peine privative de liberté d'un an au plus ou d'une peine pécuniaire quiconque séjourne illégalement en Suisse, notamment après l'expiration de la durée du séjour non soumis à autorisation ou du séjour autorisé.</w:t>
      </w:r>
    </w:p>
    <w:p>
      <w:r>
        <w:t>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w:t>
      </w:r>
    </w:p>
    <w:p>
      <w:r>
        <w:t>2.1.2.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6B_1172/2014 du 23 novembre 2015 ; 6B_525/2014 du 9 octobre 2014 consid. 1.1 et les références ; 6B_196/2012 du 24 janvier 2013 consid. 2.1 ; 6B_173/2013 du 19 août 2013 consid. 1.1 à 1.4).</w:t>
      </w:r>
    </w:p>
    <w:p>
      <w:r>
        <w:t>2.1.3. La Directive sur le retour ne s'oppose pas à ce que le droit pénal suisse réprime le séjour illégal lorsqu'une procédure de retour est mise en œuvre. En ce sens, elle ne s'oppose pas à ce que le séjour illégal soit érigé en infraction. Sur le plan de la sanction, une application de l'art. 115 al. 1 let. b LEtr conforme à la Directive sur le retour et à la jurisprudence européenne impose qu'il soit renoncé à prononcer et à</w:t>
      </w:r>
    </w:p>
    <w:p>
      <w:r>
        <w:t>- 6/13 - P/2436/2018 exécuter une peine privative de liberté lorsque l'intéressé en séjour illégal fait l'objet d'une décision de renvoi et que les mesures nécessaires pour procéder à l'éloignement n'ont pas encore été mises en œuvre. C'est la solution adoptée par l'arrêt du Tribunal fédéral le plus récent qu'il convient de suivre (arrêt du Tribunal fédéral 6B_106/2016 du 7 décembre 2016).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œuvre. En cela, il y a lieu de s'écarter de la solution retenue dans l'arrêt du Tribunal fédéral 6B_1172/2014 du 23 novembre 2015 (ATF 143 IV 249 consid. 1.9). Ainsi, si la procédure de renvoi n'a pas été menée jusqu'à son terme par les autorités administratives, ce n'est pas le prononcé d'une peine pécuniaire qui l'a entravée. Cette sanction ne s'oppose dès lors pas à la Directive sur le retour et à la jurisprudence européenne rendue en la matière (arrêt du Tribunal fédéral 6B_308/2016 du 15 mai 2017 consid. 3.2 = SJ 2018 I 109).</w:t>
      </w:r>
    </w:p>
    <w:p>
      <w:r>
        <w:t>2.1.4.1.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L'on applique ainsi en principe la loi en vigueur au moment où l'acte a été commis (arrêt du Tribunal fédéral 6B_196/2012 du 24 janvier 2013, consid. 1.1.). L'art. 2 CP ne permet en revanche pas à l'auteur de bénéficier, le cas échéant, d'une loi plus favorable qui n'était pas en vigueur au moment où il a commis l'infraction et qui ne l'est plus au moment où il est mis en jugement.</w:t>
      </w:r>
    </w:p>
    <w:p>
      <w:r>
        <w:t>Pour comparer la sévérité de l'ancien et du nouveau droit, il y a lieu de procéder à un examen concret, en tenant compte de l'état de fait complet. Il faut confronter le résultat que donnerait dans le cas particulier l'application du nouveau droit à toutes les questions qui se posent, avec le résultat que donnerait dans le cas particulier l'application de l'ancien droit dans des conditions identiques. Si le premier de ces deux résultats est plus favorable au condamné, le nouveau droit est seul applicable ; en cas contraire, l'ancien droit reste seul applicable (ATF 114 IV 1 consid. 2a p. 4).</w:t>
      </w:r>
    </w:p>
    <w:p>
      <w:r>
        <w:t>2.1.4.2.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En principe, une</w:t>
      </w:r>
    </w:p>
    <w:p>
      <w:r>
        <w:t>- 7/13 - P/2436/2018 nouvelle jurisprudence doit s'appliquer immédiatement et aux affaires pendantes au moment où elle est adoptée. Le droit à la protection de la bonne foi, qui découle de l'art. 9 Constitution (RS 101),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135 II 78 consid. 3.2 et références citées).</w:t>
      </w:r>
    </w:p>
    <w:p>
      <w:r>
        <w:t>2.1.5.1. Le 1er janvier 2018, sont entrées en vigueur des nouvelles dispositions sur le droit des sanctions. Selon l'art. 34 al. 1 aCP, sauf disposition contraire, la peine pécuniaire est de trois jours-amende au moins et ne peut excéder 360 jours-amende. Le juge fixe leur nombre en fonction de la culpabilité de l'auteur. Selon l'art. 34 al. 1 CP, sauf disposition contraire, la peine pécuniaire est de trois jours-amende au moins et ne peut excéder 180 jours-amende. Le juge fixe leur nombre en fonction de la culpabilité de l'auteur. 2.1.5.2. En matière de délit continu, la question du droit applicable se pose lorsque la loi change pendant l'exécution d'un tel délit. Si la nouvelle loi comporte uniquement une modification des sanctions, il n'est pas envisageable d'appliquer deux régimes de peine à un seul et même acte. Le délit continu constituant une unité, il n'est pas possible d'appliquer pour partie l'ancien et pour partie le nouveau droit. Le principe de la lex mitior ne permet en effet pas de combiner ancien et nouveau. Pour régler cette question, la doctrine largement majoritaire propose l'application du nouveau droit à l'ensemble du délit continu, soit également à la partie antérieure à l'entrée en vigueur de la nouvelle norme Dès lors qu'une norme abrogée ne peut être appliquée à un comportement postérieur à son abrogation et qu'il n'est pas possible d'appliquer pour partie l'ancien et pour partie le nouveau droit, la solution doctrinale se justifie. En cas d'aggravation de la sanction prévue par la loi, il convient toutefois, lors de la fixation de la peine, de tenir compte, dans un sens atténuant, du fait qu'une partie de l'infraction s'est déroulée pendant une période où la sanction était moins grave (arrêt du Tribunal fédéral 6B_196/2012 du 24 janvier 2013 consid. 1.3 et les références citées ; AARP/314/2018 du 1er octobre 2018 consid. 2.2.2 ; AARP/378/2018 du 26 novembre 2018 consid. 5.3 ; JTDP/1392/2018 du 30 octobre 2018 consid. 3.1.1 ; M. DUPUIS / L. MOREILLON / C. PIGUET / S. BERGER / M. MAZOU / V. RODIGARI, Code pénal, Petit Commentaire, Bâle 2017, n. 19 ad art. 2 et les références citées).</w:t>
      </w:r>
    </w:p>
    <w:p>
      <w:r>
        <w:rPr>
          <w:b/>
        </w:rPr>
        <w:t>E. 2.2</w:t>
      </w:r>
    </w:p>
    <w:p>
      <w:r>
        <w:t>En l'espèce, il ne ressort pas du dossier que l'appelant a fait l'objet de mesures de renvoi menées jusqu'à leur terme. La nouvelle jurisprudence du Tribunal fédéral du 15 mai 2017 portant sur l'interprétation de la Directive sur le retour est applicable à</w:t>
      </w:r>
    </w:p>
    <w:p>
      <w:r>
        <w:t>- 8/13 - P/2436/2018 compter de cette date aux affaires pendantes devant les juridictions compétentes, même si partie des faits incriminés se sont déroulés antérieurement. En effet, ce revirement de jurisprudence ne peut être assimilé à une modification de la loi pénale à laquelle le principe de non-rétroactivité s'appliquerait (art. 2 al. 1 CP). Par conséquent, la jurisprudence susmentionnée doit être prise en compte dans la présente procédure. Malgré le statut administratif de l'intimé, qui doit quitter la Suisse, et des peines privatives de liberté déjà prononcées contre lui, manifestement non dissuasives, seul le prononcé d'une peine pécuniaire reste envisageable compte tenu de la jurisprudence récente du Tribunal fédéral et nonobstant la peine menace de l'art. 115 al. 1 let. b LEtr (voir supra 2.1.3). Les faits reprochés au prévenu ont été commis antérieurement mais également postérieurement au 1er janvier 2018, date d'entrée en vigueur du nouveau droit des sanctions, étant rappelé que le séjour illégal est un délit continu. Au vu de la période pénale retenue par l'accusation, et conformément à la jurisprudence précitée, il convient, pour la peine pécuniaire à fixer, de faire exclusivement application du nouveau droit des sanctions, dans sa teneur à partir du 1er janvier 2018, sans que l'exception de la lex mitior ne doive être examinée. C'est donc à tort que le premier juge a considéré que l'ancien droit des sanctions était applicable au moment des faits. Cela étant, dans la mesure où in casu le genre de la peine est strictement limité à une peine pécuniaire, sous l'angle de la lex mitior si elle était applicable, il conviendrait également de faire application du nouveau droit des sanctions qui parait concrètement plus favorable au prévenu, dès lors que la limite supérieure de 360 jours-amende (art. 34 al. 1 aCP) a été réduite à 180 jours-amende (art. 34 al. 1 CP).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- 9/13 - P/2436/2018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w:t>
      </w:r>
    </w:p>
    <w:p>
      <w:r>
        <w:rPr>
          <w:b/>
        </w:rPr>
        <w:t>E. 3</w:t>
      </w:r>
    </w:p>
    <w:p>
      <w:r>
        <w:t>octobre 2017 consid. 4.1 ; 6B_326/2016 du 22 mars 2017 consid. 4.1).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 arrêt du Tribunal fédéral 6B_780/2018 du 9 octobre 2018 consid. 2.1).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w:t>
      </w:r>
    </w:p>
    <w:p>
      <w:r>
        <w:rPr>
          <w:b/>
        </w:rPr>
        <w:t>E. 3.2</w:t>
      </w:r>
    </w:p>
    <w:p>
      <w:r>
        <w:t>En l'espèce, l'appelant a déjà été condamné à cinq reprises pour séjour illégal depuis 2010 sans compter ses condamnations pour entrées illégales intervenues en 2009 déjà et, pour la dernière fois, en janvier 2017. Il a certes indiqué demander pardon mais l'on peut douter de la sincérité de son propos au vu de ses multiples antécédents qui ne l'ont pas conduit à modifier son comportement en conséquence. S'agissant de sa situation personnelle, s'il explique ne pas avoir de contact avec sa famille en Algérie, il ne dit pas non plus que ceux-ci ne seraient pas possibles, pas</w:t>
      </w:r>
    </w:p>
    <w:p>
      <w:r>
        <w:t>- 10/13 - P/2436/2018 plus qu'il n'explique pour quelles raisons il ne pourrait retourner en Algérie, si ce n'est qu'il déclare s'y opposer, ce que corrobore l'indication de l'OCPM selon laquelle il ne collabore pas en vue d'un retour dans son pays d'origine. Si sa situation est ainsi difficile, vu son statut illégal, il apparaît en porter la responsabilité. Au vu des faits reprochés, sa collaboration à la procédure ne peut être considérée comme étant bonne au point d'être prise en compte dans la fixation de la peine, dès lors qu'il n'avait aucune marge de manœuvre étant connu des services de police. La période pénale, de près de deux ans, est particulièrement importante et témoigne tant de l'absence de sa prise de conscience que de sa persistance à contrevenir à la loi dans ce domaine. Aucun élément du dossier ne porte à considérer que, sans son interpellation, l'appelant aurait mis fin à son séjour illégal, son absence en audience de jugement n'étant pas déterminante à cet égard, étant relevé que s'il a indiqué devant le MP vouloir partir en Autriche étant au bénéfice de l'asile, son conseil a indiqué par la suite qu'il ne bénéficiait d'aucune autorisation de séjour dans ce pays. Tous les critères de fixation de la peine conduisent ainsi à prononcer une peine d'une sévérité certaine en rapport au maximum de la peine à prononcer. Dans cette mesure, la peine pécuniaire prononcée de 180 jours-amende, même s'il elle ressort à la peine maximale pouvant être prononcée, n'est pas excessive et sanctionne correctement le comportement de l'appelant. La quotité de CHF 10.- par unité de jour-amende n'est pas critiquable ni critiquée et correspond au minimum légal. L'appel sera ainsi rejeté et le jugement confirmé quant à la peine prononcée.</w:t>
      </w:r>
    </w:p>
    <w:p>
      <w:r>
        <w:rPr>
          <w:b/>
        </w:rPr>
        <w:t>E. 4</w:t>
      </w:r>
    </w:p>
    <w:p>
      <w:r>
        <w:t>L'appelant, qui succombe, supportera les frais de la procédure envers l'État, comprenant un émolument de CHF 1'500.- (art. 428 CPP et 14 al. 1 du Règlement fixant le tarif des frais en matière pénale du 22 décembre 2010 [RTFMP ; E 4 10.03]).</w:t>
      </w:r>
    </w:p>
    <w:p>
      <w:r>
        <w:rPr>
          <w:b/>
        </w:rPr>
        <w:t>E. 5</w:t>
      </w:r>
    </w:p>
    <w:p>
      <w:r>
        <w:t>5.1.1.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- 11/13 - P/2436/2018</w:t>
      </w:r>
    </w:p>
    <w:p>
      <w:r>
        <w:t>5.1.2.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w:t>
      </w:r>
    </w:p>
    <w:p>
      <w:r>
        <w:t>5.1.3.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5.2</w:t>
      </w:r>
    </w:p>
    <w:p>
      <w:r>
        <w:t>En l'occurrence l'état de frais remis est conforme aux principes applicables. L'indemnité due à Me B______ sera arrêtée à CHF 387.70 correspondant à 1h30 d'activité au tarif de CHF 200.-/heure plus la majoration forfaitaire de 20 % et l'équivalent de la TVA au taux de 7,7% en CHF 27.70.</w:t>
      </w:r>
    </w:p>
    <w:p>
      <w:r>
        <w:t>- 12/13 - P/2436/2018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