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AARP/54/2016 vom 25. Januar 2016</w:t>
      </w:r>
    </w:p>
    <w:p>
      <w:r>
        <w:t>GE Cour de justice, 2016-01-25, FR</w:t>
      </w:r>
    </w:p>
    <w:p>
      <w:r>
        <w:rPr>
          <w:b/>
        </w:rPr>
        <w:t xml:space="preserve">Quelle: </w:t>
      </w:r>
      <w:r>
        <w:t>https://mcp.opencaselaw.ch/entscheid/ge_gerichte_AARP_54_2016</w:t>
      </w:r>
    </w:p>
    <w:p>
      <w:r>
        <w:t>FR: GE_GERICHTE AARP/54/2016 du 25 janvier 2016</w:t>
      </w:r>
    </w:p>
    <w:p>
      <w:r>
        <w:t>IT: GE_GERICHTE AARP/54/2016 del 25 gennaio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À teneur de l'art. 115 al. 1 let. b LEtr, est puni d'une peine privative de liberté d'un an au plus ou d'une peine pécuniaire quiconque séjourne illégalement en Suisse, notamment après l'expiration de la durée du séjour non soumis à autorisation ou du séjour non autorisé.</w:t>
      </w:r>
    </w:p>
    <w:p>
      <w:r>
        <w:t>- 5/13 - P/17827/2014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Le séjour illégal étant un délit continu,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2.2.1. Le principe ne bis in idem est ancré dans la Constitution fédérale (art. 8 al. 1 de la Constitution fédérale de la Confédération suisse du 18 avril 1999 (Cst. – RS 101)) ainsi qu'à l'art. 4 al. 1 du Protocole n° 7 à la Convention de sauvegarde des droits de l'homme et des libertés fondamentales (RS 0.101.07) et à l'art. 14 al. 7 du Pacte international du 16 décembre 1966 relatif aux droits civils et politiques (RS 0.103.2). Il figure également, depuis le 1er janvier 2011, à l'art. 11 al. 1 CPP. Ce principe, qui est un corollaire de l'autorité de chose jugée, interdit qu'une personne soit pénalement poursuivie deux fois pour les mêmes faits. L'interdiction de la double poursuite suppose la présence de deux procédures :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(arrêt du Tribunal fédéral 6B_496/2012 du 18 avril 2013 consid. 7.1). 2.2.2. Les dispositions de la procédure de première instance s'appliquant par analogie à la procédure de recours (Rechtsmittel, cf. art. 379 CPP), lorsque l'instance de recours constate qu'il existe un empêchement de procéder, la procédure est classée conformément à l'art. 329 al. 4 CPP appliqué par analogie (arrêt du Tribunal fédéral 6B_1045/2014 du 19 mai 2015 consid. 4.2 [non publié in ATF 141 IV 205], ATF 139 IV 161 consid. 2.7. p. 168 = JdT 2014 IV 66).</w:t>
      </w:r>
    </w:p>
    <w:p>
      <w:r>
        <w:rPr>
          <w:b/>
        </w:rPr>
        <w:t>E. 2.3</w:t>
      </w:r>
    </w:p>
    <w:p>
      <w:r>
        <w:t>En l'espèce, il est établi, et non contesté, que l'appelant ne disposait pas des autorisations nécessaires pour séjourner en Suisse, et qu'il était sous le coup d'une interdiction d'entrée valable. Alors qu'il avait été renvoyé par les autorités administratives en vertu des accords de Dublin, l'intéressé est revenu sur le territoire suisse. Le recourant ne compte pas lui-même coopérer à son expulsion, dans la mesure où il fait état d'un projet de mariage, peu crédible par ailleurs, pour n'avoir jamais été confirmé par l'intéressée. Il apparaît ainsi qu'aucune démarche supplémentaire ne peut être exigée des autorités administratives. La collaboration</w:t>
      </w:r>
    </w:p>
    <w:p>
      <w:r>
        <w:t>- 6/13 - P/17827/2014 avec les autorités en vue du démantèlement de réseaux de narcotrafiquants n'est pas établie. En tout état, ces faits ne sauraient fonder un quelconque motif justificatif. Se trouvant donc illégalement en Suisse de manière fautive, l'appelant s'est bien rendu coupable de séjour illégal. Pour autant, l'appelant a déjà été condamné par ordonnance pénale du ______ mars 2015 pour séjour illégal pour la période allant du ______ janvier 2014 au ______ juillet suivant. Aussi, seule peut lui être reprochée en l'espèce la période allant du ______ juillet au ______ septembre 2014. La période pénale retenue par le premier juge, en violation du principe ne bis in idem, sera réduite en conséquence et la procédure classée pour le surplus.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- 7/13 - P/17827/2014 Cette situation vise le concours réel rétrospectif, qui se présente lorsque le prévenu,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Pour déterminer si le tribunal doit prononcer une peine complémentaire, il convient de se référer à la date du jugement antérieur, indépendamment de la date d'un éventuel arrêt sur appel ultérieur (ATF 138 IV 113 consid. 3.4.1 et 3.4.2 ; ATF 129 IV 113 consid. 1.1 et 1.2 ; R. ROTH / L. MOREILLON (éds), Code pénal I : art. 1-100 CP, Bâle 2009, n. 84 ad art. 49). L'auteur est donc "condamné", au sens de l'art. 49 al. 2 CP, dès l'instant du prononcé du jugement et non pas seulement au moment de son entrée en force ;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 ATF 129 IV 113 consid. 1.3 ; ATF 109 IV 87 consid. 2a ; ATF 102 IV 242 consid. II.4.a ; ACPR/369/2015 du 3 juillet 2015 consid. 2.1.). La fixation d'une peine d'ensemble n'est pas possible en cas de sanctions de genre différent. Il est ainsi exclu de prononcer une peine privative de liberté, à titre de peine complémentaire, à une peine pécuniaire ordonnée précédemment (ATF 137 IV 57 consid. 4.3).</w:t>
      </w:r>
    </w:p>
    <w:p>
      <w:r>
        <w:rPr>
          <w:b/>
        </w:rPr>
        <w:t>E. 3.3</w:t>
      </w:r>
    </w:p>
    <w:p>
      <w:r>
        <w:t>En l'espèce, la faute de l'appelant n'est pas légère. Celui-ci s'évertue à demeurer en Suisse sans droit, et ce malgré ses précédentes condamnations. Il a agi par appât d'un gain facile en s'adonnant à un trafic de stupéfiants. L'appelant a certes admis les faits reprochés, mais n'avait d'autre choix tant les preuves à charges étaient implacables. Il n'y a pas de prise de conscience, l'appelant n'entreprenant aucune démarche en vue de son retour et tirant ses revenus d'une activité illicite. Nonobstant sa difficulté, la situation personnelle de l'appelant ne révèle aucun facteur à décharge. La vraisemblable absence de liens avec la Suisse rend encore moins compréhensible son insistance à rester dans ce pays.</w:t>
      </w:r>
    </w:p>
    <w:p>
      <w:r>
        <w:t>- 8/13 - P/17827/2014 Il y a concours d'infractions (art. 49 al. 1 CP). L'appelant ne conteste pas, à juste titre, le genre de peine infligé en première instance Compte tenu de sa situation personnelle et financière et de son imperméabilité à la sanction pénale, le prononcé d'une peine pécuniaire ou d'un travail d'intérêt général est inenvisageable. Les antécédents de l'appelant sont nombreux et spécifiques, de sorte que le pronostic quant à son comportement futur est défavorable. Partant, l'octroi d'une peine assortie du sursis est exclu. Au vu du classement d'une partie de la procédure, il convient de fixer derechef la peine, laquelle est uniquement complémentaire à celle du 23 septembre 2014, vu la période pénale considérée et le genre de peine prononcé. Compte tenu de l'ensemble des circonstances, la CPAR estime le prononcé d'une peine privative de liberté de 30 jours comme adéquate, aucune raison ne motivant l'octroi d'une exemption de peine. Le jugement entrepris sera réformé en conséquence. Pour le surplus, l'amende infligée sera confirmée, n'étant ni contestée dans son principe ni dans sa quotité et étant adéquate vu l'infraction à l'art. 19a LStup.</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4.2</w:t>
      </w:r>
    </w:p>
    <w:p>
      <w:r>
        <w:t>La réduction de la période du séjour illégal reproché n'influence pas la condamnation de l'appelant aux frais de procédure de première instance, à l'exception de la mise à sa charge de l'émolument complémentaire due à la nécessité d'interjeter appel.</w:t>
      </w:r>
    </w:p>
    <w:p>
      <w:r>
        <w:t>Pour ce qui est dudit émolument et des frais de la procédure d'appel, l'appelant qui obtient gain de cause dans une large mesure en supportera le quart, ces derniers comprenant un émolument de jugement de CHF 800.- (art. 428 al. 1 CPP et 14 al. 1 let. e du Règlement fixant le tarif des frais en matière pénale [RTFMP - E 4 10.03]). Le solde sera laissé à la charge de l'État.</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(cf. art. 138 al. 1 CPP) est indemnisé conformément au tarif des avocats de la</w:t>
      </w:r>
    </w:p>
    <w:p>
      <w:r>
        <w:t>- 9/13 - P/17827/2014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w:t>
      </w:r>
    </w:p>
    <w:p>
      <w:r>
        <w:t>- 10/13 - P/17827/2014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5.3</w:t>
      </w:r>
    </w:p>
    <w:p>
      <w:r>
        <w:t>En l'occurrence, le dossier, mince, était nécessairement bien connu du défenseur d'office de l'appelant, celui-ci l'ayant plaidé quelques semaines auparavant. Les questions encore litigieuses au stade de l'appel, complémentarité de la peine et respect du principe de l'interdiction de la double discrimination, sont simples et ne nécessitaient pas d'investissement particulier au-delà de leur identification. En conclusion, l'indemnité sera arrêtée à CHF 777.60 correspondant à trois heures d'activité au tarif de CHF 200.-/heure plus la majoration forfaitaire de 20% et l'équivalent de la TVA au taux de 8% en CHF 57.60. * * * * *</w:t>
      </w:r>
    </w:p>
    <w:p>
      <w:r>
        <w:t>- 11/13 - P/17827/2014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