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AARP/548/2015 vom 18. Juni 2015</w:t>
      </w:r>
    </w:p>
    <w:p>
      <w:r>
        <w:t>GE Cour de justice, 2015-06-18, FR</w:t>
      </w:r>
    </w:p>
    <w:p>
      <w:r>
        <w:rPr>
          <w:b/>
        </w:rPr>
        <w:t xml:space="preserve">Quelle: </w:t>
      </w:r>
      <w:r>
        <w:t>https://mcp.opencaselaw.ch/entscheid/ge_gerichte_AARP_548_2015</w:t>
      </w:r>
    </w:p>
    <w:p>
      <w:r>
        <w:t>FR: GE_GERICHTE AARP/548/2015 du 18 juin 2015</w:t>
      </w:r>
    </w:p>
    <w:p>
      <w:r>
        <w:t>IT: GE_GERICHTE AARP/548/2015 del 18 giugno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- 22/35 - P/12493/2012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Ph. GRAVEN, L'infraction pénale punissable, 2e éd., Berne 1995, p. 200 n° 152). 2.1.2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w:t>
      </w:r>
    </w:p>
    <w:p>
      <w:r>
        <w:t>- 23/35 - P/12493/2012 acceptation de ce risque (ATF 137 IV 1 consid. 4.2.3 p. 4 ; 133 IV 222 consid. 5.3 p. 226 et les arrêts cités).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t>2.1.3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JdT 1991 IV 45). Son but est particulièrement odieux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ou le comportement que l'auteur adopte immédiatement après les faits n'entrent en ligne de compte que dans la mesure où ils y sont étroitement liés, et permettent de caractériser la personnalité de l'auteur (ATF 141 IV 61 consid. 4.1 p. 64 ; 127 IV 10 consid. 1a p. 14 ; arrêts du Tribunal fédéral</w:t>
      </w:r>
    </w:p>
    <w:p>
      <w:r>
        <w:t>- 24/35 - P/12493/2012 6B_596/2014 du 23 décembre 2014 consid. 1.2 et 6B_1066/2013 du 27 février 2014 consid. 4.1).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précité).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141 IV 61 consid. 4.1 p. 65 ; 127 IV 10 consid. 1a p. 13 ; 120 IV 265 consid. 3a p. 274 ; 118 IV 122 consid. 2b p.125 s. ; 117 IV 369 consid. 17 p. 389 ss et les références citées). ll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et 6B_1066/2013 précités). Il faut en revanche retenir l'assassinat lorsqu'il ressort des circonstances de l'acte que son auteur fait preuve du mépris le plus complet pour la vie d'autrui (ATF 141 IV 61 consid. 4.1 p. 65 ; 120 IV 265 consid. 3a p. 274 ; 118 IV 122 consid. 2b p. 126 ; cf. également ATF 117 IV 369 consid. 19b p. 394). 2.1.4 Subjectivement, l'assassinat peut être réalisé par dol éventuel, puisqu'il s'agit d'une forme de l'intention. On doit, en effet, considérer que la perception qu'a l'auteur de son absence particulière de scrupule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 dans le cadre de l'appréciation globale (cf. ATF 112 IV 65 consid. 3b, p. 66 ; arrêts du Tribunal fédéral 6B_232/2012 du 8 mars 2013 consid. 1.4.2 et 6B_215/2012 du 24 octobre 2012 consid. 2.3.1 et les références citées). 2.2.1 En l'espèce, il ressort de la procédure que l'appelant et ses deux comparses se sont introduits de force dans le logement de la victime dans le but de la dépouiller, étant précisé que, selon le plan convenu, les deux occupants des lieux devaient être maîtrisés. L'appelant s'est alors retrouvé face à H______, qui se trouvait à terre, ayant</w:t>
      </w:r>
    </w:p>
    <w:p>
      <w:r>
        <w:t>- 25/35 - P/12493/2012 été projeté au sol lors de l'ouverture de la porte d'entrée, et lui a aussitôt asséné un violent coup de pied au visage pour l'empêcher de se relever, ce qui, de son propre aveu, l'a secoué et l'a à nouveau fait chuter en arrière, d'autant qu'il ne pouvait s'y attendre. Cela n'a pas empêché l'appelant de lui porter encore une série de coups de pied à la tête, soit au moins deux ou trois, en le frappant toujours violemment, de haut en bas, avec la semelle de sa chaussure et en n'hésitant pas, pour ce faire, à prendre appui sur l'échelle menant à la mezzanine, jusqu'à ce que H______ demeure, inerte, sur le sol, dans un état comateux. Ses deux co-prévenus ont d'ailleurs été choqués par sa manière d'agir et par la disproportion des coups par rapport au but recherché, d'autant que l'intéressé avait été mis hors d'état de résister bien avant de recevoir le dernier coup, que l'appelant a ponctué d'une injonction de dormir et cela, selon l'un des précités, en lui écrasant la tête contre le sol. La question de savoir si les coups ont ou non été portés en rafale n'est nullement déterminante dans la mesure où, si tel a été le cas, l'appelant a manifestement fait preuve d'acharnement, alors que, dans le cas inverse, il était à même de mesurer l'impact de chacun de ses coups et donc de constater que la victime n'était aucunement en mesure de se défendre ou de résister. L'appelant est l'auteur direct de coups de pied à la tête de la victime qui sont à l'origine du traumatisme crânien cérébral sévère dont elle a souffert et qui constitue, avec les complications qui s'ensuivent généralement, la cause de son décès, étant souligné que le risque de mortalité est de l'ordre de 25% dans un tel cas, même pour un patient jeune et en bonne santé, alors que l'intéressé était âgé de 57 ans, très maigre (59 kg pour 1m85) et fragilisé dans sa santé, s'agissant d'un ancien héroïnomane ayant été infecté par le virus VIH et souffrant notamment d'une hépatite C chronique. Dans la mesure où il se trouvait à proximité immédiate de ce dernier, l'appelant n'a pu que se rendre compte à qui il avait à faire, même s'il faisait sombre. Nul n'est censé ignorer que le fait de porter un et a fortiori plusieurs coups de pied à la tête est susceptible d'entraîner de graves lésions et même la mort de la victime, risque qui est d'autant plus grand lorsque celle-ci n'est plus en mesure de réagir ou de se défendre, notamment lorsqu'elle se trouve inconsciente, voire simplement au sol (cf. arrêts du Tribunal fédéral 6B_901/2014 du 27 février 2015 consid. 2.7, 6B_355/2011 du 23 septembre 2011 consid. 4.2 et 6P.41/2006 du 12 mai 2006 consid. 7.1). Comme tout un chacun, l'appelant ne pouvait ignorer les risques, y compris mortels, pouvant découler de violents coups de pied portés à la tête et d'une perte de conscience consécutive. Il les connaissait même d'autant mieux qu'il pratique différents sports de combat depuis une dizaine d'années, activité qui a forcément dû lui apprendre à gérer tant la puissance de ses coups que son stress et son impulsivité, mais aussi à infliger des coups pouvant tuer, comme il l'admet à demi-mots lorsqu'il</w:t>
      </w:r>
    </w:p>
    <w:p>
      <w:r>
        <w:t>- 26/35 - P/12493/2012 explique avoir pratiqué des arts martiaux autorisant à frapper l'adversaire au sol, puisqu'il pouvait alors être question de vie ou de mort. S'il a pu agir par impulsion en portant le premier coup, déjà potentiellement mortel, force est de constater qu'il a persisté en assénant plusieurs autres coups tout aussi voire plus violents à la tête de sa victime, alors qu'elle était au sol et ne se défendait pas, exprimant même sa volonté de la rendre inconsciente. Dans ces conditions, il n'a pu qu'envisager et accepter les risques, y compris celui d'une issue fatale, pouvant résulter de ses actes et s'en est accommodé pour le cas où celle-ci surviendrait, même s'il ne le souhaitait pas. Avant de se rétracter, il avait du reste admis s'être assuré que H______ respirait encore par crainte de l'avoir tué, reconnaissant n'avoir aucunement maîtrisé sa force lors des coups donnés. L'appelant s'est donc rendu coupable d'un homicide intentionnel, à tout le moins par dol éventuel. 2.2.2 L'appelant a agi dans le cadre de l'exécution d'un brigandage ; il a supprimé la vie d'autrui pour voler l'intéressé, ayant été chargé de le neutraliser pour l'empêcher de protéger ses biens et valeurs, mais ayant choisi de le faire en lui assénant plusieurs coups potentiellement mortels. Conformément à la jurisprudence, le fait de tuer un être humain pour commettre un brigandage représente un cas typique d'assassinat et il est sans pertinence que l'auteur ait tué avant, pendant ou immédiatement après l'acquisition du butin ou qu'il ait agi sans raison particulière ou par peur d'une réaction (réelle ou imaginaire) de la victime (ATF 115 IV 187 consid. 2 p. 188, JdT 1991 IV 45 ; arrêt du Tribunal fédéral 6B_939/2013 du 17 juin 2014 consid. 3.1). Au demeurant, la peur invoquée, notamment que la victime fut armée ou puisse le contaminer avec le virus HIV, n'est étayée par aucun élément objectif du dossier et ne résiste pas à l'examen, cette dernière n'ayant à l'évidence pas eu le temps d'entreprendre quoi que ce soit pour tenter de se défendre, étant encore moins en position d'agresser à son tour l'appelant. Il en va de même quant au fait, non confirmé par aucun autre protagoniste, que H______ se serait agrippé à la jambe de F______, d'autant qu'en pareille hypothèse, ce dernier aurait manifestement été en mesure de lui faire lâcher prise seul, étant de la même taille que la victime et bien plus fort qu'elle. Ainsi, l'appelant s'est bien rendu coupable d'assassinat en s'en prenant à la vie d'une personne qu'il ne connaissait pas et dont il n'avait pas eu à souffrir, tant son mobile que sa façon d'agir apparaissant particulièrement odieux, l'intéressé semblant s'être défoulé sur sa victime et, bien qu'ayant craint pour la vie de celle-ci, n'a pas cherché à appeler les secours ou à renoncer à poursuivre le brigandage en cours, se mettant au contraire à fouiller lui-même le logement dans l'espoir d'y découvrir quelque argent ou bien de valeur. Par la suite, il s'est encore montré satisfait du déroulement de l'opération, du travail d'équipe effectué, avant de partager une partie du butin, soit quelques grammes de marijuana, avec F______.</w:t>
      </w:r>
    </w:p>
    <w:p>
      <w:r>
        <w:t>- 27/35 - P/12493/2012</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2e éd., Bâle 2013, n. 130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- 28/35 - P/12493/2012</w:t>
      </w:r>
    </w:p>
    <w:p>
      <w:r>
        <w:t>3.1.3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3.1.4 Si, durant le délai d'épreuve, le détenu libéré conditionnellement commet un crime ou un délit, le juge qui connaît de la nouvelle infraction ordonne sa réintégration dans l'établissement (art. 89 al. 1 CP). En vertu de l'al. 2 de cette disposition, le juge peut y renoncer s'il n'y a pas lieu de craindre que l'intéressé commette d'autres infractions.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1 CP).</w:t>
      </w:r>
    </w:p>
    <w:p>
      <w:r>
        <w:rPr>
          <w:b/>
        </w:rPr>
        <w:t>E. 3.2</w:t>
      </w:r>
    </w:p>
    <w:p>
      <w:r>
        <w:t>En l'occurrence, les premiers juges ont pris en compte les critères pertinents pour fixer la peine, étant rappelé que l'assassinat est passible d'une peine privative de liberté de 10 ans au minimum, et qu'il entre en concours avec le délit contre la LStup et le brigandage simple au sens de l'art. 140 ch. 1 CP, justifiant une augmentation de la peine dans une juste proportion. La question de savoir si l'aggravante prévue au ch.</w:t>
      </w:r>
    </w:p>
    <w:p>
      <w:r>
        <w:rPr>
          <w:b/>
        </w:rPr>
        <w:t>E. 4</w:t>
      </w:r>
    </w:p>
    <w:p>
      <w:r>
        <w:t>4.1.1 La partie plaignante obtient gain de cause au sens de l'art. 433 al. 1 CPP lorsque le prévenu est condamné et/ou si les prétentions civiles sont admises (M. NIGGLI / M. HEER / H. WIPRÄCHTIGER (éds), Strafprozessordnung – Jugendstrafprozes- sordnung, Basler Kommentar StPO/JStPO, 2e éd., Bâle 2014, n. 10 ad art. 433 ; N. SCHMID, Schweizerische Strafprozessordnung, Praxiskommentar, 2e éd., 2013, n.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 A. KUHN / Y. JEANNERET (éds), Commentaire romand : Code de procédure pénale suisse, Bâle 2011, nos 8 ss ad art. 433 CPP ; N. SCHMID, op. cit., 2013, n. 3 ad art. 433). 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w:t>
      </w:r>
    </w:p>
    <w:p>
      <w:r>
        <w:t>- 30/35 - P/12493/2012</w:t>
      </w:r>
    </w:p>
    <w:p>
      <w:r>
        <w:t>4.1.2 L'art. 433 al. 1 let. a CPP, applicable en instance de recours (art. 436 al. 1 CPP), signifie que, si la partie plaignante a conclu à une indemnité dans une procédure de recours où elle a gain de cause, cette indemnité sera mise à la charge du prévenu, non de l'État (ACPR/140/2013 du 12 avril 2013 ; ACPR/230/2013 du 8 mai 2013).</w:t>
      </w:r>
    </w:p>
    <w:p>
      <w:r>
        <w:t>4.2.1 Le montant de la réparation morale alloué aux deux parties plaignantes pour la perte de leur frère est justifié et n'est d'ailleurs pas contesté en tant que tel. L'appelant étant le seul responsable de la mort de H______, il est également le seul débiteur de ces indemnités. Il en va de même de celles relatives à la prise en charge de leurs frais et honoraires d'avocat de première instance, puisque les parties plaignantes n'ont pas obtenu gain de cause au sens de l'art. 433 al. 1 CPP vis-à-vis de ses co-prévenus, qui ont été libérés du chef d'accusation d'homicide. Ces dernières ne sont en revanche pas lésées par le brigandage commis au préjudice de leur frère et n'auraient pas pu se constituer parties plaignantes dans le cadre de cette infraction, ce qu'elles n'ont au demeurant pas tenté de faire, de sorte qu'une responsabilité solidaire des co-prévenus de l'appelant ne saurait intervenir dans ce contexte. 4.2.2 Les parties plaignantes obtenant gain de cause en appel, il se justifie de mettre à la charge de l'appelant les frais d'avocat qu'elles ont encourus à ce titre. Il ressort de la note d'honoraires produite que leur conseil, Me Guy ZWAHLEN, a facturé</w:t>
      </w:r>
    </w:p>
    <w:p>
      <w:r>
        <w:rPr>
          <w:b/>
        </w:rPr>
        <w:t>E. 9</w:t>
      </w:r>
    </w:p>
    <w:p>
      <w:r>
        <w:t>heures 30 d'activité au tarif de CHF 400.-/heure, mais elle comporte seulement une estimation de 1 heure 30 pour la durée des débats d'appel, alors que celle-ci s'est élevée en réalité 4 heures 30, compte tenu aussi de l'audience de reddition du verdict. L'activité déployée n'apparaissant pas critiquable pour le surplus, l'indemnité due sera fixée à CHF 5'400.-, TVA comprise (12,5 h x CHF 400.- + 8%). 5. L'appelant, qui succombe pour l'essentiel, supportera les frais de la procédure envers l'État (art. 428 CPP). 6. 6.1.1 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suivant, débours de l'étude inclus : avocat stagiaire CHF 65.- (let. a) ; collaborateur CHF 125.- (let. b) ; chef d'étude CHF 200.- (let. c), la TVA étant versée en sus si l'intéressé y est assujetti. 6.1.2 Reprenant l'activité de taxation suite à l'entrée en vigueur du CPP, la Chambre de céans a maintenu dans son principe l'ancienne pratique selon laquelle l'activité consacrée aux conférences, audiences et autres actes de la procédure était forfaitairement majorée de 20% jusqu'à 30 heures d'activité, 10% lorsque l'état de</w:t>
      </w:r>
    </w:p>
    <w:p>
      <w:r>
        <w:t>- 31/35 - P/12493/2012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de même que d'autres documents ne nécessitant pas ou peu de motivation ou autre investissement particulier en termes de travail juridique, telle l'annonce d'appel ou la déclaration d'appel, qu'il n'est pas nécessaire de motiver, de sorte que le défenseur d'office qui motive sa déclaration d'appel accomplit des démarches qui ne sont pas nécessaires et qui n'ont pas à être indemnisées (ordonnance de la Cour des plaintes du Tribunal pénal fédéral BB.2014.51 du 21 novembre 2014 consid. 2.1 ; décisions de la Cour des plaintes du Tribunal pénal fédéral BB.2013.165 du 24 janvier 2014 consid. 4.1.3 et BB.2013.127 du 4 décembre 2013 consid. 4.2 ).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juridiction d'appel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Chambre de céans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 En l'occurrence, Me B______ sollicite une indemnité correspondant à 26 heures d'activité au tarif CHF 200.-/heure, audience d'appel non comprise, plus une majoration forfaitaire de 20% et la TVA. Sous réserve du temps consacré à la rédaction de la déclaration d'appel (1 heure), qui est compris dans le forfait pour les démarches diverses, et du taux applicable à celui-ci, lequel doit être fixé à 10% compte tenu de l'activité déjà facturée en première instance, l'état de frais produit par</w:t>
      </w:r>
    </w:p>
    <w:p>
      <w:r>
        <w:t>- 32/35 - P/12493/2012 le défenseur d'office de l'appelant, considéré dans sa globalité, parait adéquat et conforme aux principes applicables en la matière, de sorte qu'il n'est pas nécessaire de reprendre le détail des postes qui le composent. Il convient d'y ajouter la durée de l'audience d'appel, soit 4 heures 30. Aussi, l'indemnité requise par le conseil de A______ sera admise à hauteur de CHF 7'009.20, correspondant à 29 heures et 30 minutes d'activité au tarif de CHF 200.-/heure (CHF 5'900.-), plus la majoration forfaitaire de 10% et la TVA à 8%. * * * * *</w:t>
      </w:r>
    </w:p>
    <w:p>
      <w:r>
        <w:t>- 33/35 - P/12493/2012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