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AARP/545/2015 vom 3. November 2015</w:t>
      </w:r>
    </w:p>
    <w:p>
      <w:r>
        <w:t>GE Cour de justice, 2015-11-03, FR</w:t>
      </w:r>
    </w:p>
    <w:p>
      <w:r>
        <w:rPr>
          <w:b/>
        </w:rPr>
        <w:t xml:space="preserve">Quelle: </w:t>
      </w:r>
      <w:r>
        <w:t>https://mcp.opencaselaw.ch/entscheid/ge_gerichte_AARP_545_2015</w:t>
      </w:r>
    </w:p>
    <w:p>
      <w:r>
        <w:t>FR: GE_GERICHTE AARP/545/2015 du 3 novembre 2015</w:t>
      </w:r>
    </w:p>
    <w:p>
      <w:r>
        <w:t>IT: GE_GERICHTE AARP/545/2015 del 3 novembre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w:t>
      </w:r>
    </w:p>
    <w:p>
      <w:r>
        <w:t>- 9/17 - P/9364/2014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t>2.1.2. 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w:t>
      </w:r>
    </w:p>
    <w:p>
      <w:r>
        <w:t>En vertu de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Selon la jurisprudence et la doctrine constantes, est déterminante pour l'application de la circonstance aggravante de l'art. 19 al. 2 let. a LStup la quantité de drogue pure mettant en danger la santé de nombreuses personnes (ATF 121 IV 193 consid. 2 b/aa p. 196 ; arrêt 6P.99/2003 du 9 décembre 2003 consid. 3.3.4). S'agissant de la cocaïne, le Tribunal fédéral retient le cas grave lorsque le trafic porte sur 18 grammes de drogue pure (ATF 138 IV 100 consid. 3.2 p. 103).</w:t>
      </w:r>
    </w:p>
    <w:p>
      <w:r>
        <w:t>Il en découle que la pureté de la drogue doit, chaque fois que cela est possible, être déterminée par les autorités de poursuite au moyen d'une expertise appropriée. Les stupéfiants mis en circulation ne peuvent souvent pas être confisqués, raison pour laquelle une analyse est d'emblée exclue (P. ALBRECHT, Die Strafbestimmungen des Betäubungsmittelgesetzes (Art. 19-28 BetmG), 2e éd., Berne 2007, § 219s ad art. 19 LStup). Dans un tel cas, le juge peut admettre que la drogue était d'une qualité moyenne et se référer au degré de pureté habituel sur le marché à l'époque et au lieu en question (CORBOZ, Les infractions en droit suisse, 3e éd., Berne 2010, vol. II, n. 86 ad art. 19 LStup et références citées). Dans le trafic de rue, on retient un taux de pureté de 20% (arrêt du Tribunal fédéral 6B_632_2008 du 10 mars 2009). Il n'est pas nécessaire de déterminer le taux de pureté lorsque la quantité détenue ou trafiquée est telle que même un taux de pureté anormalement bas permet d'aboutir à une quantité de drogue pure supérieure à 18 grammes.</w:t>
      </w:r>
    </w:p>
    <w:p>
      <w:r>
        <w:t>- 10/17 - P/9364/2014</w:t>
      </w:r>
    </w:p>
    <w:p>
      <w:r>
        <w:t>2.2.1. En l'espèce, l'appelant admet avoir stocké de la cocaïne dans sa chambre, pour le compte du dénommé "Ningo", en vue de sa revente. Il soutient toutefois que son trafic s'est limité à cette détention et conteste en particulier avoir remis, le 21 mai 2014, 40 grammes de cocaïne à "Ningo" ainsi que d'avoir, le 2 juillet 2014, avant son départ en vacances, remis 100 grammes de cocaïne à B______.</w:t>
      </w:r>
    </w:p>
    <w:p>
      <w:r>
        <w:t>2.2.2. Il résulte des écoutes téléphoniques que le 21 mai 2014, B______ a contacté "Ningo" afin de s'approvisionner rapidement en cocaïne. Ce dernier a immédiatement téléphoné à A______, auprès duquel la drogue était stockée, pour l'informer qu'il allait passer chez lui pour prendre la marchandise. "Ningo" a ensuite appelé une inconnue pour lui dire qu'il avait pu écouler 40, ce qui confirme qu'il avait récupéré la drogue stockée chez A______ pour la revendre à B______, lequel a fini par admettre cette acquisition.</w:t>
      </w:r>
    </w:p>
    <w:p>
      <w:r>
        <w:t>La police a d'ailleurs vu B______ conduire "Ningo" en voiture devant le domicile de A______ et a assisté à un échange.</w:t>
      </w:r>
    </w:p>
    <w:p>
      <w:r>
        <w:t>Ces éléments établissent que c'est bien l'appelant qui a remis la cocaïne à "Ningo" et pas l'inverse ("tu m'amènes ça et on sort un moment"). C'est d'ailleurs parce que "Ningo" n'était pas en possession de la cocaïne ce jour-là et ne pouvait ainsi pas fournir B______, qui en avait fait la demande, que les deux hommes se sont rendus au domicile de l'appelant, où la drogue était stockée.</w:t>
      </w:r>
    </w:p>
    <w:p>
      <w:r>
        <w:t>Le jugement entrepris sera par conséquent confirmé en tant qu'il reconnaît A______ coupable de cette transaction.</w:t>
      </w:r>
    </w:p>
    <w:p>
      <w:r>
        <w:t>2.2.3. En ce qui concerne la remise par l'appelant, le 2 juillet 2014, de 100 grammes de cocaïne à B______, la CPAR constate que si les écoutes actives établissent effectivement un rendez-vous entre les deux hommes ce jour-là, elles ne permettent en revanche pas de retenir qu'une transaction a eu lieu à cette occasion. Rien de tel n'a été observé par la police, qui surveillait les protagonistes de ce trafic, et cela ne ressort pas non plus des conversations téléphoniques intervenues le même jour avec les dénommés "Ningo" et "Chalan", dont on apprend uniquement que l'appelant, qui quittait Genève, ne voulait pas conserver la cocaïne chez lui et voulait la remettre à quelqu'un (un rendez-vous le soir à 21h00 y étant évoqué).</w:t>
      </w:r>
    </w:p>
    <w:p>
      <w:r>
        <w:t>La police n'a pas non plus retenu l'existence de cette transaction de l'analyse des écoutes actives à laquelle elle s'est livrée et la réalité de celle-ci repose en substance sur les seules déclarations de B______, qui a expliqué, pour la première fois devant les premiers juges, qu'il avait obtenu de l'appelant, le 2 juillet 2014, la cocaïne retrouvée en possession de C______ le 13 août 2014.</w:t>
      </w:r>
    </w:p>
    <w:p>
      <w:r>
        <w:t>- 11/17 - P/9364/2014</w:t>
      </w:r>
    </w:p>
    <w:p>
      <w:r>
        <w:t>Or, pour la CPAR, les déclarations de B______ à ce sujet ne revêtent pas une crédibilité suffisante pour asseoir un verdict de culpabilité, dès lors que ce prévenu a beaucoup varié tant au sujet de la provenance de la drogue remise à C______ – tantôt trouvée dans une poubelle tantôt acquise à un dénommé "Chico Barcelona" puis à l'appelant – que sur les raisons de son rendez-vous à proximité de Manor le 2 juillet 2014. En outre, cette dernière version tend à réduire son implication dans le trafic et peut ainsi avoir été fournie pour les besoins de sa cause. En effet, le fait de désigner l'appelant comme étant son fournisseur des 100 grammes qu'il avait de toute manière admis avoir achetés à quelqu'un d'autre, a été utilisé par B______ pour tenter de justifier le fait qu'il n'était pas censé recevoir, le soir du 2 juillet 2014, 200 grammes supplémentaires de cocaïne issus du stock de A______.</w:t>
      </w:r>
    </w:p>
    <w:p>
      <w:r>
        <w:t>Pour ces motifs, et même si l'appelant n'a pas fourni des explications très convaincantes pour justifier sa rencontre avec B______ le 2 juillet 2014, il devra être acquitté de ce chef d'accusation.</w:t>
      </w:r>
    </w:p>
    <w:p>
      <w:r>
        <w:rPr>
          <w:b/>
        </w:rPr>
        <w:t>E. 3</w:t>
      </w:r>
    </w:p>
    <w:p>
      <w:r>
        <w:t>ans.</w:t>
      </w:r>
    </w:p>
    <w:p>
      <w:r>
        <w:t>Dans la mesure où la peine prononcée ne peut pas être complémentaire à une peine pécuniaire (ATF 137 IV 57 consid. 4.3.1), le jugement entrepris sera modifié sur ce point également.</w:t>
      </w:r>
    </w:p>
    <w:p>
      <w:r>
        <w:rPr>
          <w:b/>
        </w:rPr>
        <w:t>E. 3.1</w:t>
      </w:r>
    </w:p>
    <w:p>
      <w:r>
        <w:t>Pour la fixation de la peine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w:t>
      </w:r>
    </w:p>
    <w:p>
      <w:r>
        <w:t>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w:t>
      </w:r>
    </w:p>
    <w:p>
      <w:r>
        <w:t>- 12/17 - P/9364/2014 nombre d'opérations constitue un indice pour mesurer l'intensité du comportement délictueux ; celui qui écoule une fois un kilo d'héroïne sera en principe moins sévèrement puni que celui qui vend cent grammes à dix reprises.</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3.2</w:t>
      </w:r>
    </w:p>
    <w:p>
      <w:r>
        <w:t>Il convient d'admettre avec les premiers juges que le rôle de l'appelant dans le trafic est bien plus important que ce qu'il ne prétend. Il bénéficiait de la confiance des fournisseurs "Ningo" et "Chalan", qui avaient stocké la cocaïne chez lui, et son rôle était moins exposé que celui de B______. Il résulte en outre des écoutes que l'appelant avait droit à une part des bénéfices et qu'il négociait sa marge avec les fournisseurs.</w:t>
      </w:r>
    </w:p>
    <w:p>
      <w:r>
        <w:t>Il y a concours avec les infractions à la législation sur les étrangers admises.</w:t>
      </w:r>
    </w:p>
    <w:p>
      <w:r>
        <w:t>La quantité trafiquée, de 240 grammes de cocaïne au total, dépasse largement le cas grave, peu importe le degré de dilution de la drogue retenu. La collaboration à la procédure est mauvaise, l'appelant n'ayant admis que ce qu'il ne pouvait pas contester, soit la détention de la cocaïne retrouvée chez lui. Confronté aux écoutes, il a tenté de soutenir qu'il ne s'agissait pas de cocaïne mais de ventes d'objets de maroquinerie, nonobstant le contenu explicite de certaines conversations. Nourri, logé et rémunéré correctement pour son travail, rien dans sa situation personnelle n'explique les actes commis.</w:t>
      </w:r>
    </w:p>
    <w:p>
      <w:r>
        <w:t>Au vu de ces éléments, et compte tenu de l'acquittement partiel prononcé, la peine privative de liberté de 36 mois prononcée en première instance sera réduite à</w:t>
      </w:r>
    </w:p>
    <w:p>
      <w:r>
        <w:t>- 13/17 - P/9364/2014 30 mois. Le sursis partiel, dont les conditions sont d'ailleurs réalisées, lui étant acquis, la partie ferme sera fixée à 15 mois, le solde étant assorti du sursis durant</w:t>
      </w:r>
    </w:p>
    <w:p>
      <w:r>
        <w:rPr>
          <w:b/>
        </w:rPr>
        <w:t>E. 4</w:t>
      </w:r>
    </w:p>
    <w:p>
      <w:r>
        <w:t>L'appelant, qui succombe pour l'essentiel, supportera les 2/3 des frais de la procédure d'appel envers l'Etat, comprenant un émolument de CHF 2'000.- (art. 428 CPP).</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w:t>
      </w:r>
    </w:p>
    <w:p>
      <w:r>
        <w:t>- 14/17 - P/9364/2014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5.2.4. Selon l'art. 17 RAJ, l'état de frais doit détailler, par rubriques, les activités donnant lieu à indemnisation, avec indication du temps consacré, et les justificatifs doivent être joints.</w:t>
      </w:r>
    </w:p>
    <w:p>
      <w:r>
        <w:rPr>
          <w:b/>
        </w:rPr>
        <w:t>E. 5.3</w:t>
      </w:r>
    </w:p>
    <w:p>
      <w:r>
        <w:t>L'activité exercée par Me X______ en appel est globalement en adéquation avec la nature, l'importance et la difficulté de la cause. Elle sera prise en compte dans son intégralité, sous réserve de la visite du 28 octobre 2014 facturée à double et qui ne sera admise qu'une fois, au tarif du collaborateur (-1h30 d'activité de stagiaire). Un forfait pour l'activité diverse de 20% sera, par ailleurs, alloué.</w:t>
      </w:r>
    </w:p>
    <w:p>
      <w:r>
        <w:rPr>
          <w:b/>
        </w:rPr>
        <w:t>E. 5.4</w:t>
      </w:r>
    </w:p>
    <w:p>
      <w:r>
        <w:t>En conclusion, l'indemnité sera arrêtée à CHF 772.50, correspondant à 5h00 d'activité de collaborateur au tarif de CHF 125.-/heure (CHF 625.-), 15 minutes d'activité de chef d'étude à CHF 200.-/heure (CHF 50.-) et 1h30 d'activité de stagiaire à CHF 65.-/heure (CHF 97.50), à laquelle il convient d'ajouter la majoration forfaitaire de 20% (CHF 154.50) et l'équivalent de la TVA au taux de 8% (CHF 74.15), pour un total de CHF 1'001.15. * * * * *</w:t>
      </w:r>
    </w:p>
    <w:p>
      <w:r>
        <w:t>- 15/17 - P/9364/2014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