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AARP/544/2013 vom 13. November 2013</w:t>
      </w:r>
    </w:p>
    <w:p>
      <w:r>
        <w:t>GE Cour de justice, 2013-11-13, FR</w:t>
      </w:r>
    </w:p>
    <w:p>
      <w:r>
        <w:rPr>
          <w:b/>
        </w:rPr>
        <w:t xml:space="preserve">Quelle: </w:t>
      </w:r>
      <w:r>
        <w:t>https://mcp.opencaselaw.ch/entscheid/ge_gerichte_AARP_544_2013</w:t>
      </w:r>
    </w:p>
    <w:p>
      <w:r>
        <w:t>FR: GE_GERICHTE AARP/544/2013 du 13 novembre 2013</w:t>
      </w:r>
    </w:p>
    <w:p>
      <w:r>
        <w:t>IT: GE_GERICHTE AARP/544/2013 del 13 novembre 2013</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3.1</w:t>
      </w:r>
    </w:p>
    <w:p>
      <w:r>
        <w:t>L’appelant soutient que l’interdiction de la mendicité constitue une atteinte inadmissible à sa liberté d’expression, et en particulier, de communication.</w:t>
      </w:r>
    </w:p>
    <w:p>
      <w:r>
        <w:rPr>
          <w:b/>
        </w:rPr>
        <w:t>E. 3.2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w:t>
      </w:r>
    </w:p>
    <w:p>
      <w:r>
        <w:t>- 5/13 - P/15250/2012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3.3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4.1</w:t>
      </w:r>
    </w:p>
    <w:p>
      <w:r>
        <w:t>L’appelant soutient aussi que l’interdiction de la mendicité constitue un traitement discriminatoire indirect en raison de sa race et de sa situation sociale.</w:t>
      </w:r>
    </w:p>
    <w:p>
      <w:r>
        <w:rPr>
          <w:b/>
        </w:rPr>
        <w:t>E. 4.2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w:t>
      </w:r>
    </w:p>
    <w:p>
      <w:r>
        <w:t>- 6/13 - P/15250/2012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rPr>
          <w:b/>
        </w:rPr>
        <w:t>E. 4.3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w:t>
      </w:r>
    </w:p>
    <w:p>
      <w:r>
        <w:t>- 7/13 - P/15250/2012 mais d'un revenu d'appoint, même si des exceptions restent toujours possibles (ATF 134 I 214). Infondé, ce grief doit ainsi être rejeté.</w:t>
      </w:r>
    </w:p>
    <w:p>
      <w:r>
        <w:rPr>
          <w:b/>
        </w:rPr>
        <w:t>E. 5.1</w:t>
      </w:r>
    </w:p>
    <w:p>
      <w:r>
        <w:t>L'appelant invoque une restriction injustifiée à sa liberté personnelle et une atteinte à sa dignité humaine (art. 7, 10 et 36 al. 3 Cst. et 8 CEDH), son extrême pauvreté le contraignant à demander l'aumône.</w:t>
      </w:r>
    </w:p>
    <w:p>
      <w:r>
        <w:rPr>
          <w:b/>
        </w:rPr>
        <w:t>E. 5.2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6.1</w:t>
      </w:r>
    </w:p>
    <w:p>
      <w:r>
        <w:t>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6.2</w:t>
      </w:r>
    </w:p>
    <w:p>
      <w:r>
        <w:t>Le principe nullapoena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w:t>
      </w:r>
    </w:p>
    <w:p>
      <w:r>
        <w:t>- 8/13 - P/15250/2012 précision (nulla poena sine lege certa) constitue l'une des facettes du principe de la légalité. Elle impose que le comportement réprimé soit suffisamment circonscrit (cf. ATF 117 Ia 472 consid. 4c p. 489).</w:t>
      </w:r>
    </w:p>
    <w:p>
      <w:r>
        <w:rPr>
          <w:b/>
        </w:rPr>
        <w:t>E. 6.3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6.4</w:t>
      </w:r>
    </w:p>
    <w:p>
      <w:r>
        <w:t>Au vu de ce qui précède, c’est à bon droit que le premier juge a reconnu l’appelant coupable de mendicité. Sa décision doit être confirmée.</w:t>
      </w:r>
    </w:p>
    <w:p>
      <w:r>
        <w:rPr>
          <w:b/>
        </w:rPr>
        <w:t>E. 7.1</w:t>
      </w:r>
    </w:p>
    <w:p>
      <w:r>
        <w:t>L'appelant a été reconnu coupable d'infraction à l'art. 115 al. 1 let. a et al. 3 LEtr pour avoir contrevenu aux dispositions sur l’entrée en Suisse au sens de l'art. 5 al. 1 let. a de cette même loi, soit plus précisément pour être venu à Genève sans être en possession d'une pièce de légitimation reconnue pour le passage de la frontière, infraction sanctionnée d'une amende puisque le premier juge a retenu qu'elle avait été commise par négligence. A cet égard, le Tribunal a relevé que le prévenu n'avait pu présenter qu'un passeport roumain échu aux gendarmes lors de son interpellation du 6 juin 2011 et qu'il n'existait aucun élément au dossier permettant de conclure qu'il était en possession d'une pièce de légitimation valable à cette époque. Le prévenu ne disposant pas de logement à Genève, il paraissait au contraire vraisemblable qu'il détenait en permanence ses documents d'identité sur lui et qu'il était dès lors entré en Suisse muni de son seul passeport échu, même si à cette même date, il était effectivement titulaire d'une carte d'identité valable, dont il n'était manifestement pas en possession lors de ce contrôle.</w:t>
      </w:r>
    </w:p>
    <w:p>
      <w:r>
        <w:rPr>
          <w:b/>
        </w:rPr>
        <w:t>E. 7.2</w:t>
      </w:r>
    </w:p>
    <w:p>
      <w:r>
        <w:t>L'appelant n'a aucunement contesté cette infraction dans son mémoire d'appel et apparaît donc avoir abandonné ce grief. Il n'a en tous les cas aucunement démontré en quoi la décision du premier juge serait arbitraire dans sa motivation et encore moins dans son résultat.</w:t>
      </w:r>
    </w:p>
    <w:p>
      <w:r>
        <w:t>Le verdict de culpabilité retenu en première instance doit ainsi être intégralement confirmé.</w:t>
      </w:r>
    </w:p>
    <w:p>
      <w:r>
        <w:t>- 9/13 - P/15250/2012</w:t>
      </w:r>
    </w:p>
    <w:p>
      <w:r>
        <w:rPr>
          <w:b/>
        </w:rPr>
        <w:t>E. 8.1</w:t>
      </w:r>
    </w:p>
    <w:p>
      <w:r>
        <w:t>Tout comme l'art. 115 al. 3 LEtr,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8.2</w:t>
      </w:r>
    </w:p>
    <w:p>
      <w:r>
        <w:t>En l’occurrence, l’amende a été fixée à CHF 100.- pour plusieurs infractions sanctionnées chacune initialement d’une amende de CHF 100.- et même de CHF 200.- s'agissant de celles commises en juin 2011. Ce montant est adéquat et n’a d’ailleurs pas été critiqué en tant que tel. Il en est de même de la peine privative de liberté de substitution, fixée à un jour.</w:t>
      </w:r>
    </w:p>
    <w:p>
      <w:r>
        <w:rPr>
          <w:b/>
        </w:rPr>
        <w:t>E. 9</w:t>
      </w:r>
    </w:p>
    <w:p>
      <w:r>
        <w:t>L'appelant conteste encore la confiscation du montant de CHF 40,15 qui a été saisi le 6 juin 2011 et sollicite sa restitution avec intérêts moratoires à 5 % dès cette même date.</w:t>
      </w:r>
    </w:p>
    <w:p>
      <w:r>
        <w:rPr>
          <w:b/>
        </w:rPr>
        <w:t>E. 9.1</w:t>
      </w:r>
    </w:p>
    <w:p>
      <w:r>
        <w:t>Aux termes de l'art. 263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 Il résulte ainsi de cette disposition que, lorsque l'une des conditions énumérées aux lettres a) à d) est remplie et qu'il y a péril en la demeure, la police peut procéder à une mise en sûreté des objets ou des valeurs patrimoniales.</w:t>
      </w:r>
    </w:p>
    <w:p>
      <w:r>
        <w:t>Selon l'art. 70 al. 1 CP, les valeurs patrimoniales qui sont le résultat d'une infraction doivent être saisies par le juge, si elles ne doivent pas être restituées au lésé en rétablissement de ses droits.</w:t>
      </w:r>
    </w:p>
    <w:p>
      <w:r>
        <w:t>Dans un cas similaire à celui de l'appelant,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(OCPR/31/2011 du 30 septembre 2011 consid. 2.2).</w:t>
      </w:r>
    </w:p>
    <w:p>
      <w:r>
        <w:rPr>
          <w:b/>
        </w:rPr>
        <w:t>E. 9.2</w:t>
      </w:r>
    </w:p>
    <w:p>
      <w:r>
        <w:t>En l'espèce, l'appelant n'a pas recouru contre l'ordonnance de séquestre rendue le 1er novembre 2012 par le Service des contraventions et qui a apparemment été notifiée à son conseil par pli recommandé expédié le même jour, de sorte qu'il ne peut plus contester cette décision à ce stade de la procédure. Le Tribunal a considéré qu'il convenait de procéder "à la confiscation de la somme de CHF 40,15 saisie en</w:t>
      </w:r>
    </w:p>
    <w:p>
      <w:r>
        <w:t>- 10/13 - P/15250/2012 lien avec l'ordonnance pénale no 5______, dans la mesure elle provient directement de l'infraction de mendicité commise par le prévenu (art. 70 al. 1 CP)".A nouveau, l'appelant ne critique pas cette décision, mais se borne à faire valoir qu'en raison de son extrême pauvreté, la somme saisie devait être déclarée insaisissable en vertu de l'art. 268 al. 3 CPP. Or, comme cela ressort du titre de cette disposition et de son premier alinéa, elle s'applique uniquement aux valeurs patrimoniales qui sont séquestrées en vue de couvrir les frais de procédure et les indemnités à verser (let. a) ou les peines pécuniaires et les amendes (let. b), à l'exclusion de celles qui le sont en vue de leur confiscation, à l'instar du produit de l'infraction au sens de l'art. 70 al. 1 CP.</w:t>
      </w:r>
    </w:p>
    <w:p>
      <w:r>
        <w:t>L'appel sera par conséquent aussi rejeté sur ce point.</w:t>
      </w:r>
    </w:p>
    <w:p>
      <w:r>
        <w:rPr>
          <w:b/>
        </w:rPr>
        <w:t>E. 10</w:t>
      </w:r>
    </w:p>
    <w:p>
      <w:r>
        <w:t>10.1. L’appelant n'a pas formulé de conclusions en indemnisation pour les trois heures passées au poste de police le 23mars 2012 dans le délai de vingt jours imparti par l'ordonnance de la Chambre de céans du 30 avril 2013 et paraît donc y avoir renoncé. Il n’avait d'ailleurs pris aucune conclusion sur ce point devant le premier juge.</w:t>
      </w:r>
    </w:p>
    <w:p>
      <w:r>
        <w:rPr>
          <w:b/>
        </w:rPr>
        <w:t>E. 10.2</w:t>
      </w:r>
    </w:p>
    <w:p>
      <w:r>
        <w:t>L'art. 429 al. 2 CPP mentionne certes que l'autorité pénale examine d'office les prétentions du prévenu, même si elle peut l'enjoindre de les chiffrer et de les justifier, mais cette disposition s'applique seulement aux indemnités dues en cas d'acquittement total ou partiel ou si le prévenu bénéficie d'une ordonnance de classement comme cela ressort de l'al. 1, conditions non réalisées en l'espèce. L'appelant ne prétend pas non plus avoir fait l'objet de mesures de contraintes illicites au sens de l'art. 431 CPP et, comme cela ressort de l'al. 3 let. a de cette disposition, il n'aurait de toute manière pas droit à une indemnité au vu de la peine privative de liberté de substitution fixée en cas de non-paiement de l'amende qui lui a été infligée. Au demeurant, la détention avant jugement visée par ces articles suppose une privation de liberté d'une certaine durée que la doctrine et la jurisprudence fixent à plus de 3 heures, et ce indépendamment de l'autorité - policer ou magistrat - qui l'a ordonnée (ROTH / MOREILLON (éds.), Commentaire romand, Code pénal I, Bâle 2009, n. 1 ad art. 110, p. 1030 et les références citées). L'arrestation ne figure pas expressément dans la définition de l'art. 110 al. 7 CP. Toutefois, lorsqu'elle excède 3 heures et même si elle est le fait d'une autorité policière, l'arrestation constitue une détention avant jugement. Le système mis en place par les articles 215 ss CPP confirme la limite de 3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10.3</w:t>
      </w:r>
    </w:p>
    <w:p>
      <w:r>
        <w:t>En l’occurrence, il ressort des faits de la cause, non contestés, que l’appelant n’a pas subi de détention avant jugement, mais une conduite au poste de police ordonnée au motif qu’il avait été pris en flagrant délit de contravention au sens de l'art. 217 al. 3 CPP. Conformément à l’art. 219 al. 5 CPP, sa présence au poste de</w:t>
      </w:r>
    </w:p>
    <w:p>
      <w:r>
        <w:t>- 11/13 - P/15250/2012 police n’a pas excédé trois heures et il n'a donc pas subi de détention susceptible d’être indemnisée en vertu des dispositions susmentionnées.</w:t>
      </w:r>
    </w:p>
    <w:p>
      <w:r>
        <w:rPr>
          <w:b/>
        </w:rPr>
        <w:t>E. 11</w:t>
      </w:r>
    </w:p>
    <w:p>
      <w:r>
        <w:t>L’appelant, qui succombe, sera condamné aux frais de la procédure d’appel, comprenant un émolument de décision de CHF 1'000.– (art. 428 al. 1 CPP et 14 al. 1 let. e du règlement fixant le tarif des frais en matière pénale du 22 décembre 2010 [RTFMP ; RS E 4 10.03]). * * * * *</w:t>
      </w:r>
    </w:p>
    <w:p>
      <w:r>
        <w:t>- 12/13 - P/15250/2012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