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AARP/543/2014 vom 18. Dezember 2014</w:t>
      </w:r>
    </w:p>
    <w:p>
      <w:r>
        <w:t>GE Cour de justice, 2014-12-18, FR</w:t>
      </w:r>
    </w:p>
    <w:p>
      <w:r>
        <w:rPr>
          <w:b/>
        </w:rPr>
        <w:t xml:space="preserve">Quelle: </w:t>
      </w:r>
      <w:r>
        <w:t>https://mcp.opencaselaw.ch/entscheid/ge_gerichte_AARP_543_2014</w:t>
      </w:r>
    </w:p>
    <w:p>
      <w:r>
        <w:t>FR: GE_GERICHTE AARP/543/2014 du 18 décembre 2014</w:t>
      </w:r>
    </w:p>
    <w:p>
      <w:r>
        <w:t>IT: GE_GERICHTE AARP/543/2014 del 18 dicembre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En l'espèce, dans la mesure où il n'est plus contesté, le verdict de culpabilité sera confirmé, dès lors qu'il est conforme aux éléments du dossier et consacre une correcte application du droit.</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t>- 10/17 - P/4853/2009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En revanche,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2.1.2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59s, arrêt du Tribunal fédéral 6B_741/2010 du 9 novembre 2010 consid. 3.1.2). Selon la jurisprudence, en matière d'ivresse, une personne présentant un taux d’alcoolémie dans le sang de 3‰ et plus doit être considérée comme totalement irresponsable. Entre 2 et 3‰, sa responsabilité sera en règle générale diminuée, alors qu'en dessous de 2‰, on admettra en principe une responsabilité pleine et entière. Il ne s'agit cependant que d'une présomption, par ailleurs réfragable, qui peut être renversée en raison d'indices contraires (ATF 122 IV 49 consid. 1b p. 50 ; 119 IV 120 consid. 2b p. 123 ; 117 IV 292 consid. 2d p. 296 ; arrêt du Tribunal fédéral 6B_960/2009 du 30 mars 2010 consid. 1.2). 2.1.3 D'après l'art. 49 al. 1 CP,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2.1.4 Au sens de l'art. 42 al. 1 CP, le juge suspend en règle générale l'exécution d'une peine pécuniaire, d'un travail d'intérêt général ou d'une peine privative de liberté de</w:t>
      </w:r>
    </w:p>
    <w:p>
      <w:r>
        <w:t>- 11/17 - P/4853/2009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2.1.5 Dans l'ATF 135 IV 180 du 18 juin 2009 (consid. 2.3., y compris les références citées), le Tribunal fédéral a relevé que sous l'empire des anciennes dispositions générales du Code pénal, il était de jurisprudence constante que l'octroi du sursis n'entrait pas en considération si une mesure de sûreté était ordonnée en application des anciens art. 43 ou 44 CP. Comme le prononcé d'une mesure supposait nécessairement l'existence d'un risque de récidive, il était en effet impossible d'appliquer ces dispositions tout en posant un pronostic favorable permettant l'octroi du sursis. Selon notre haute instance, il n'en va pas différemment en application du nouveau droit. L'art. 63 al. 1 CP exposant qu'un traitement ambulatoire doit être ordonné s'il est à prévoir que celui-ci détournera l'auteur d'autres infractions en relation avec son état, il s'ensuit que le prononcé d'une telle mesure, qui suppose un risque de récidive, implique nécessairement un pronostic négatif. Les conditions du sursis, intégral ou partiel, ne sont donc pas remplies, de sorte qu’une peine ferme doit être prononcée. 2.1.6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Cette disposition postule de la sorte la pesée à effectuer entre l'atteinte aux droits inhérente à la mesure ordonnée et la dangerosité de l'auteur. D'autre part,</w:t>
      </w:r>
    </w:p>
    <w:p>
      <w:r>
        <w:t>- 12/17 - P/4853/2009 l'art. 56a CP rappelle que si plusieurs mesures s'avèrent appropriées, mais qu'une seule est nécessaire, le juge ordonne celle qui porte à l'auteur les atteintes les moins graves (arrêts du Tribunal fédéral 6B_950/2009 du 10 mars 2010 consid. 4, 6B_457/2007 du 12 novembre 2007 consid. 5.2 ; cf. déjà ATF 118 IV 108 consid. 2a p. 113 et les références citées).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A cet égard, les rapports de thérapeutes ne suffisent pas (ATF 134 IV 246, consid. 4.3 p. 254). 2.1.7 Aux termes de l'art. 57 al. 1 CP, si les conditions sont remplies aussi bien pour le prononcé d’une peine que pour celui d’une mesure, le juge ordonne les deux sanctions. 2.1.8 En vertu de l'art. 63 al. 1 CP,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A la lumière des principes généraux de l'exécution des peines (art. 75 al. 1 CP), il pourrait apparaître comme inutile d'ordonner un tel traitement dans la cadre d'une détention puisque les établissements doivent de toute façon mettre à disposition des condamnés les traitements thérapeutiques jugés nécessaires. Le fait que la mesure soit ordonnée par le juge aura cependant un avantage, puisque la direction de l'établissement se verra concrètement obligée d'y donner suite et que le détenu, de son côté, ne pourra pas s'y soustraire. La mesure prononcée a le caractère d'une injonction judiciaire, non seulement à l'égard de la direction de l'établissement pénitentiaire, mais également à l'endroit du condamné (A. BAECHTOLD, Exécution des peines : l'exécution des peines et mesures concernant les adultes en Suisse, Berne 2008, p. 310).</w:t>
      </w:r>
    </w:p>
    <w:p>
      <w:r>
        <w:t>- 13/17 - P/4853/2009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Pour se prononcer sur la suspension de l'exécution d'une peine privative de liberté ferme, le juge doit se fonder sur une expertise psychiatrique (art. 56 al. 3 let. c CP en relation avec l'art. 63 CP).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Le juge dispose d'un large pouvoir d'appréciation pour décider de l'éventuelle suspension de l'exécution de la peine et le Tribunal fédéral n'intervient qu'en cas d'excès ou d'abus de celui-ci (arrêt du Tribunal fédéral 6B_335/2012 du 13 août 2012 consid. 2.1 et les références citées). 2.2.1 En l'espèce, la faute de l'appelant est importante. Il s'en est pris à l'intégrité physique et psychique de son épouse, perpétuant à son encontre, sur une période de plusieurs années et à intervalles réguliers, des actes de contrainte et de violence, des menaces et des insultes, plongeant celle-ci, mais également leur fille, dans un climat de crainte. Par ailleurs, il s'en est pris à deux reprises aux forces de l'ordre et n'a pas hésité à détériorer la propriété d'autrui, se laissant porter par son impulsivité. Les mobiles de l'appelant sont purement égoïstes. En particulier, s'appliquant à rompre ses engagements, il a laissé libre cours à ses pulsions agressives, n'hésitant</w:t>
      </w:r>
    </w:p>
    <w:p>
      <w:r>
        <w:t>- 14/17 - P/4853/2009 pas à traquer son épouse dans le but de provoquer des rencontres avec celle-ci et leur fille, et ce sans égard à leur ressenti. L'appelant a d'ores et déjà été condamné par le passé pour avoir physiquement violenté sa femme, soit pour des actes assimilables à certains de ceux dont il lui est fait reproche dans la présente procédure. Ses antécédents sont ainsi spécifiques. Sa collaboration à la procédure a été moyenne. L'appelant a certes admis, dès les prémisses de la procédure, une importante partie des faits qui lui étaient reprochés, mais il s'est surtout évertué à les minimiser. Au surplus, il ne semble pas avoir pleinement pris conscience de l'illicéité de son comportement. Il ne montre aucune motivation à s'investir dans un traitement visant à soigner ses troubles, ayant même été jusqu'à interrompre, de sa propre initiative, le suivi psychiatrique qui avait été mis en place dans son intérêt. Hormis le trouble de la personnalité dont il est victime, rien dans la situation personnelle de l'appelant ne semble susceptible d'apporter la justification de ses agissements. Il convient toutefois de tenir compte de l'expertise psychiatrique figurant au dossier, laquelle retient à juste titre qu'en raison d'un grave trouble mental présent lors de l'accomplissement des faits, l'appelant était sujet à une très légère diminution de sa responsabilité pénale. L'appelant sera en outre mis au bénéfice d'une responsabilité moyennement restreinte en relation avec les faits du 3 juillet 2010, lors desquels il faisait l'objet d'une importante intoxication à l'alcool. La diminution de responsabilité pénale de l'appelant, déjà admise en première instance, aura pour effet une réduction, dans une mesure proportionnée, de la gravité de la faute commise. Cette dernière n’en reste pas moins importante de sorte que, ajoutée au concours d'infractions qui justifie une augmentation de la peine dans une raisonnable proportion, la peine privative de liberté de 12 mois prononcée par le premier juge est adéquate, car adaptée à la culpabilité de l'appelant, et doit être confirmée. 2.2.2 Dans son complément d'expertise, l'expert a considéré qu'au vu de l'incapacité de l'appelant à contrôler son comportement et à gérer ses émotions en cas de situations conflictuelles, un risque de récidive moyen à élevé devait être retenu. Sur cette base, le premier juge a à juste titre ordonné en faveur de l'appelant un traitement ambulatoire, dont le bien-fondé ne fait l'objet d'aucune contestation en appel.</w:t>
      </w:r>
    </w:p>
    <w:p>
      <w:r>
        <w:t>- 15/17 - P/4853/2009 Ainsi, étant en outre tenu compte de sa faible prise de conscience et de ses antécédents spécifiques, dont il a été précédemment fait mention sous chiffre 2.2.1, le pronostic d'avenir de l'appelant doit être considéré comme concrètement défavorable, de sorte que les conditions fixées au prononcé d'un sursis, total ou partiel, ne sont pas réalisées. Par conséquent, seule une peine ferme est envisageable. A toutes fins utiles, il sied de préciser que si les deux expertises rendues successivement dans le cadre de cette procédure semblent se contredire sur la question de l'évaluation du risque de récidive, cela résulte du fait que la première expertise avait pour base un dossier incomplet, ce que l'expert a confirmé. Partant, les constatations émises par l'appelant à ce sujet sont dénuées de pertinence. La décision du premier juge sera donc également confirmée sur ce point. 2.2.3 Reste donc à déterminer si la peine privative de liberté à laquelle l'appelant a été condamné se doit d'être suspendue au profit du traitement ambulatoire. En l'espèce, le rapport d'expertise n'indique pas que le trouble présenté par l'appelant se soignerait mieux en dehors du milieu carcéral ou que ses chances de réinsertion seraient réduites si le traitement était suivi simultanément à l'exécution de la peine. Bien au contraire, il précise que le risque d'une atteinte grave à l'intégrité physique de l'un ou l'autre des protagonistes n'est pas à écarter et qu'une peine privative de liberté est parfaitement compatible avec le traitement ordonné. En outre, l'appelant a d'ores et déjà, par le passé, mis fin de manière inopinée à son suivi psychiatrique et s'est totalement désintéressé de la procédure d'appel, s'abstenant de se présenter aux débats, pourtant ajournés. Par son comportement, il a ainsi forgé la preuve de son incapacité à prendre conscience de ses actes et à en assumer la responsabilité, de telle manière qu'il est difficile d'envisager qu'il parvienne à se soumettre à un tel traitement hors du milieu carcéral. Au vu de ce qui précède, il sied de confirmer la décision du premier juge, selon laquelle le traitement ambulatoire devra être accompli en prison.</w:t>
      </w:r>
    </w:p>
    <w:p>
      <w:r>
        <w:rPr>
          <w:b/>
        </w:rPr>
        <w:t>E. 3</w:t>
      </w:r>
    </w:p>
    <w:p>
      <w:r>
        <w:t>L'appelant, qui succombe, supportera l'entier des frais de la procédure d’appel (art. 428 CPP), comprenant dans leur totalité un émolument de décision de CHF 2'000.- (art. 14 al. 1 let. e du Règlement fixant le tarif des frais en matière pénale [RTFMP - E 4 10.03]). * * * * *</w:t>
      </w:r>
    </w:p>
    <w:p>
      <w:r>
        <w:t>- 16/17 - P/4853/2009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