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AARP/541/2014 vom 8. Dezember 2014</w:t>
      </w:r>
    </w:p>
    <w:p>
      <w:r>
        <w:t>GE Cour de justice, 2014-12-08, FR</w:t>
      </w:r>
    </w:p>
    <w:p>
      <w:r>
        <w:rPr>
          <w:b/>
        </w:rPr>
        <w:t xml:space="preserve">Quelle: </w:t>
      </w:r>
      <w:r>
        <w:t>https://mcp.opencaselaw.ch/entscheid/ge_gerichte_AARP_541_2014</w:t>
      </w:r>
    </w:p>
    <w:p>
      <w:r>
        <w:t>FR: GE_GERICHTE AARP/541/2014 du 8 décembre 2014</w:t>
      </w:r>
    </w:p>
    <w:p>
      <w:r>
        <w:t>IT: GE_GERICHTE AARP/541/2014 del 8 dicembre 2014</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suisse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2.1</w:t>
      </w:r>
    </w:p>
    <w:p>
      <w:r>
        <w:t>A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 I, Bâle 2007, n. 5 ad. art. 86 ; S. TRECHSEL, Schweizerisches Strafgesetzbuch : Praxis- kommentar, Zurich 2008, n. 2 ad. art. 86).</w:t>
      </w:r>
    </w:p>
    <w:p>
      <w:r>
        <w:t>- 5/7 - PM/1093/2014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 S. TRECHSEL, op. cit., n. 8-9 ad. art. 86 CP). Il convient par ailleurs d’examiner si le danger que représente le détenu au moment de sa libération augmenterait, diminuerait ou resterait inchangé en cas d’exécution complète de la peine (A. KUHN / L. MOREILLON / B. VIREDAZ / A. BISCHOFSKY, op. cit., ibidem).</w:t>
      </w:r>
    </w:p>
    <w:p>
      <w:r>
        <w:rPr>
          <w:b/>
        </w:rPr>
        <w:t>E. 2.2</w:t>
      </w:r>
    </w:p>
    <w:p>
      <w:r>
        <w:t>En l'espèce, la condition objective à l'octroi de la libération conditionnelle est réalisée. S'agissant de la condition subjective, force est de constater qu'elle ne l'est pas. Les préavis de la prison de Champ-Dollon, du SAPEM et du Ministère public sont négatifs. L'appelant cumule en effet depuis septembre 2009 quatre condamnations, dont celle du 6 février 2012 à une peine privative de liberté de 36 mois. Excepté pour sa première condamnation, il s'en est pris systématiquement au patrimoine d'autrui en sus d'infractions d'autres natures. Il n'a manifestement pas su tirer profit et comprendre les chances qui lui étaient données de se conformer à l'ordre juridique suisse par l'octroi du sursis pour ses deux premières condamnations, puis d'une libération conditionnelle récente, dès avril 2012. Il n'a au contraire pas hésité, après un renvoi dans son pays d'origine, à revenir en Suisse pour perpétrer dès juillet 2012 à nouveau des infractions contre le patrimoine. La longue détention subie jusqu'en avril 2012 n'a pas davantage eu l'effet dissuasif escompté. S'y ajoute le fait que l'appelant n'a en l'état aucun projet concret à sa sortie de prison. Il n'a pris aucune disposition pour se munir de documents de voyage en vue de son retour, voire d'un nouveau renvoi au Kosovo. La prise d'emploi chez son oncle n'est pas documentée. Ceci amène à craindre que, pour autant qu'il se rende dans un premier temps au Kosovo, l'appelant ne revienne rapidement en Suisse, en toute illégalité, comme il l'a fait en juillet 2012 au plus tard. Dans ces conditions, la CPAR, à l'instar du tribunal de première instance, estime que le pronostic est clairement défavorable et que la libération conditionnelle doit être refusée à l'appelant. L'appel sera donc rejeté.</w:t>
      </w:r>
    </w:p>
    <w:p>
      <w:r>
        <w:rPr>
          <w:b/>
        </w:rPr>
        <w:t>E. 3</w:t>
      </w:r>
    </w:p>
    <w:p>
      <w:r>
        <w:t>L'appelant, qui succombe, supportera les frais de la procédure envers l'État (art. 428 CPP).</w:t>
      </w:r>
    </w:p>
    <w:p>
      <w:r>
        <w:t>- 6/7 - PM/1093/2014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