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AARP/53/2026 vom 3. Februar 2026</w:t>
      </w:r>
    </w:p>
    <w:p>
      <w:r>
        <w:t>GE Cour de justice, 2026-02-03, FR</w:t>
      </w:r>
    </w:p>
    <w:p>
      <w:r>
        <w:rPr>
          <w:b/>
        </w:rPr>
        <w:t xml:space="preserve">Quelle: </w:t>
      </w:r>
      <w:r>
        <w:t>https://mcp.opencaselaw.ch/entscheid/ge_gerichte_AARP_53_2026</w:t>
      </w:r>
    </w:p>
    <w:p>
      <w:r>
        <w:t>FR: GE_GERICHTE AARP/53/2026 du 3 février 2026</w:t>
      </w:r>
    </w:p>
    <w:p>
      <w:r>
        <w:t>IT: GE_GERICHTE AARP/53/2026 del 3 febbraio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Les infractions de possession et de vente de stupéfiants (art. 19 al. 1 let. c et let. d LStup) et de non-respect d’une assignation à un lieu de résidence ou d’une interdiction de pénétrer dans une région déterminée (art. 119 al. 1 LEI) sont sanctionnées par une peine privative de liberté de trois ans au plus ou par 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repréhensible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2.2.2. Bien que la récidive ne constitue plus un motif d’aggravation de la peine (art. 67 aCP), les antécédents continuent de jouer un rôle très important dans la fixation de celle-ci (M. NIGGLI / H. WIPRÄCHTIGER, Basler Kommentar Strafrecht I :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et</w:t>
      </w:r>
    </w:p>
    <w:p>
      <w:r>
        <w:t>- 6/13 - P/10144/2024 ad art. 47). Une série d’infractions semblables pèse plus lourd que des actes de nature différente. Les antécédents judiciaires ne sauraient toutefois conduire à une augmentation massive de la peine, car cela reviendrait à condamner une deuxième fois pour des actes déjà jugés (ATF 120 IV 136 consid. 3b).</w:t>
      </w:r>
    </w:p>
    <w:p>
      <w:r>
        <w:rPr>
          <w:b/>
        </w:rPr>
        <w:t>E. 2.3</w:t>
      </w:r>
    </w:p>
    <w:p>
      <w:r>
        <w:t>À teneur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Lorsque des motifs de prévention spéciale permettent de considérer qu'une peine pécuniaire serait d'emblée inadaptée, l'autorité peut prononcer une peine privative de liberté de courte durée (arrêt du Tribunal fédéral 6B_341/2017 du 23 janvier 2018 consid. 1.1 ; 6B_1030/2016 du 2 février 2017 consid. 2.2.2 ; 6B_372/2017 du 15 novembre 2017 consid. 1.1 ; 6B_889/2015 du 30 mai 2016 consid. 4.3).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PC-CP, 2ème éd., Bâle 2017, n. 3 ad art. 41).</w:t>
      </w:r>
    </w:p>
    <w:p>
      <w:r>
        <w:rPr>
          <w:b/>
        </w:rPr>
        <w:t>E. 2.4</w:t>
      </w:r>
    </w:p>
    <w:p>
      <w:r>
        <w:t>Selon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défaut de prise de</w:t>
      </w:r>
    </w:p>
    <w:p>
      <w:r>
        <w:t>- 7/13 - P/10144/2024 conscience de la faute peut justifier un pronostic défavorable, car seul celui qui se repent de son acte mérite la confiance que l’on doit pouvoir accorder au condamné bénéficiant du sursis. Les antécédents pertinents doivent être pris en compte de manière significative dans l’établissement du pronostic ; ils n’excluent toutefois pas nécessairement le sursis. Sont également à prendre en considération les circonstances personnelles jusqu’au moment du jugement, notamment les développements positifs qui ont pu avoir lieu depuis la commission de l’acte (ATF 134 IV 140 consid. 5). Dans l’émission du pronostic, le juge dispose d’un large pouvoir d’appréciation (arrêt du Tribunal fédéral 6B_820/2022 du 15 mai 2023 consid. 2.1). 2.5.1.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2.5.2.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 141 IV 61 consid. 6.1.2 ; 138 IV 113 consid. 3.4.1). Il doit s’agir de peines de même genre (ATF 142 IV 265 consid. 2.3.2). Pour fixer la peine complémentaire, le second tribunal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AARP/467/2016 du 18 novembre 2016 consid. 3.3.2 ; AARP/450/2016 du 9 novembre 2016 consid. 2.2.5). 2.5.3. Lorsque, parmi plusieurs infractions à juger, l’une au moins a été commise avant d’autres jugées précédemment (concours rétrospectif partiel), les nouvelles infractions</w:t>
      </w:r>
    </w:p>
    <w:p>
      <w:r>
        <w:t>- 8/13 - P/10144/2024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2.6.1. La faute de l’appelant n’est pas anodine. Il a vendu de la cocaïne et en a détenu, en vue de sa vente, contribuant ainsi au fléau que représente la consommation de cette substance, drogue dure particulièrement addictive, pour la santé publique. Il a par ailleurs persisté à se trouver sur le territoire genevois en violation répétée de l’interdiction d’y être, faisant preuve d’un mépris évident de la législation en vigueur et de la décision prononcée à son encontre. Il a commis ces infractions en toute connaissance de cause, au vu de ses interpellations successives, ce qui dénote une persistance, dans le temps, de son comportement délictuel. Sa collaboration est sans particularité. Il a certes admis les faits relatifs aux infractions à la LEI mais ne pouvait que difficilement les nier. Il a en revanche persisté à prétendre que la cocaïne détenue le 10 décembre 2024 était destinée à sa propre consommation, et non à la vente. Ses regrets ont été exprimés pour la première fois devant le TP, soit relativement tard dans la procédure. Ils apparaissent dès lors de circonstance. Sa prise de conscience ne saurait donc être considérée comme initiée, encore moins aboutie comme il l’allègue. Sa situation personnelle n’explique aucunement ses actes puisqu’il bénéficie d’un titre de séjour français valable. Ses déclarations quant à son activité lucrative n’ont pas été documentées de sorte qu’elles ne pourront être considérées comme établies. Le prévenu a eu maintes occasions de produire des documents probants (extraits de compte bancaire, fiches de salaire, contrat de travail, etc) afin d’attester de la véracité de ses propos, ce qu’il n’a pas fait, étant précisé qu’il a été assisté d’un conseil depuis le début de la procédure – son incarcération actuelle n’y changeant rien. Par ailleurs, il a régulièrement été arrêté en pleine journée, différents jours de la semaine (lundi, mardi, mercredi et jeudi), ce qui est difficilement compatible avec une activité lucrative, même exercée à temps partiel. Enfin, la peine exécutée au moment du dépôt du mémoire d’appel a pour conséquence qu’il ne travaille plus et il n’est pas établi que son prétendu employeur serait disposé à le réengager à sa sortie de prison.</w:t>
      </w:r>
    </w:p>
    <w:p>
      <w:r>
        <w:t>- 9/13 - P/10144/2024 Ses mobiles sont égoïstes et tiennent à son propre intérêt à demeurer en Suisse (LEI) et à l’appât du gain (LStup). Il a un antécédent spécifique. Sous l’angle de la prévention spéciale, seul le prononcé d’une peine privative de liberté se justifie. La situation administrative de l’appelant rend illusoire toute perspective de recouvrement financier. L’emploi qu’il allègue est non prouvé et n’est, en tous les cas, plus d’actualité au vu de son actuelle détention, comme déjà indiqué. Le prononcé d’une peine privative de liberté se justifie et doit ainsi être confirmée. Par ailleurs, eu égard à la faible prise de conscience de l’appelant, aux multiples répétitions d’infractions, cumulées à son antécédent spécifique, le pronostic est défavorable. L’octroi du sursis est ainsi exclu. 2.6.2. Les faits objets de la présente procédure se sont déroulés les 23 avril, 13 mai, 22 mai, 3 octobre 2024 ainsi que le 10 décembre 2024 et 5 janvier 2025. Ils sont donc en partie antérieurs à la condamnation du prévenu à une peine privative de liberté de 90 jours prononcée par le MP le 6 décembre 2024. Dans ce cas, le concours rétrospectif partiel s’applique (art. 49 al. 2 CP), les peines étant de même genre. Le premier groupe d’infractions est composé des faits faisant l’objet de la condamnation du 6 décembre 2024 et des faits antérieurs à celle-ci. Le second groupe est composé des infractions commises postérieurement à ladite condamnation. Dans son ordonnance pénale du 6 décembre 2024, le MP a condamné le prévenu à une peine privative de liberté de 90 jours, sanction qu’il n’y a pas lieu de revoir, la décision étant entrée en force. Si les faits commis avant le prononcé de ladite ordonnance avaient fait l’objet d’un seul jugement, ces infractions auraient été sanctionnées, en application des règles sur le concours, d’une peine privative de liberté de 40 jours pour l’infraction à l’art. 19 al. 1 let. c LStup, objectivement la plus grave. Cette peine doit être augmentée de 20 jours (peine hypothétique : 30 jours) pour chacune des infractions à l’art. 119 al. 1 LEI commises antérieurement à la condamnation du</w:t>
      </w:r>
    </w:p>
    <w:p>
      <w:r>
        <w:rPr>
          <w:b/>
        </w:rPr>
        <w:t>E. 2.7</w:t>
      </w:r>
    </w:p>
    <w:p>
      <w:r>
        <w:t>Les valeurs patrimoniales saisies sur le prévenu proviennent manifestement d’un trafic de stupéfiants, compte tenu de la nature des espèces composées de petites coupures, typiques dans ce domaine, ainsi que de ses explications peu convaincantes et non prouvées quant à leur origine. Le téléphone de l’appelant n’a été ni confisqué, ni séquestré, à teneur de l’inventaire cité dans le jugement.</w:t>
      </w:r>
    </w:p>
    <w:p>
      <w:r>
        <w:t>Partant, il ne se justifie pas de revenir sur les mesures de séquestre et compensation ordonnées par le premier juge, qui consacrent une correcte application du droit. 3. L’appelant, qui succombe sur la totalité de ses conclusions, supportera les frais de la procédure envers l’État (art. 428 CPP), lesquels comprennent un émolument de décision de CHF 1'500.-.</w:t>
      </w:r>
    </w:p>
    <w:p>
      <w:r>
        <w:t>Vu l’issue de la procédure d’appel, il n’y a pas lieu de revoir les frais de première instance. 4. Considéré dans sa globalité, l’état de frais produit apparaît adéquat et conforme aux principes régissant l’assistance judiciaire.</w:t>
      </w:r>
    </w:p>
    <w:p>
      <w:r>
        <w:t>La rémunération de Me B______ sera partant arrêtée à CHF 1’037.76 correspondant à quatre heures d’activité au tarif de CHF 200.-/heure, plus la majoration forfaitaire de 20 % et l'équivalent de la TVA au taux de 8.1%.</w:t>
      </w:r>
    </w:p>
    <w:p>
      <w:r>
        <w:t>* * * * *</w:t>
      </w:r>
    </w:p>
    <w:p>
      <w:r>
        <w:t>- 11/13 - P/10144/2024</w:t>
      </w:r>
    </w:p>
    <w:p>
      <w:r>
        <w:rPr>
          <w:b/>
        </w:rPr>
        <w:t>E. 6</w:t>
      </w:r>
    </w:p>
    <w:p>
      <w:r>
        <w:t>décembre 2024 (3 x 20 jours = 60 jours) et de 20 jours supplémentaires (peine hypothétique : 30 jours) s’agissant de cette dernière. Il en découle un total de 120 jours, dont il faut déduire les 90 jours déjà entrés en force, d’où une peine complémentaire de 30 jours. Considérant, ensuite, les infractions commises postérieurement à l’ordonnance pénale du 6 décembre 2024, il convient de fixer une peine indépendante. L’infraction concrètement la plus grave est celle commise en violation de la LStup, au vu de la quantité de boulettes de stupéfiants détenues par le prévenu. Elle doit être réprimée par une peine privative de liberté de 50 jours, laquelle doit être augmentée dans une juste proportion de 40 jours, soit 20 jours par occurrence (peine hypothétique : 30 jours par occurrence) pour sanctionner les infractions successives à l’art. 119 al. 1 LEI, ce qui porte la peine à 90 jours.</w:t>
      </w:r>
    </w:p>
    <w:p>
      <w:r>
        <w:t>- 10/13 - P/10144/2024 La peine totale, additionnant les peines complémentaire et indépendante, s’élève donc à 120 jours de peine privative de liberté. Ainsi, la peine fixée en première instance s’avère adéquate, voire bien clémente, et doit être confirmée, au bénéfice de l’interdiction de la reformatio in pejus. L’appel sera rejeté et le jugement entrepris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