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AARP/53/2025 vom 12. Februar 2025</w:t>
      </w:r>
    </w:p>
    <w:p>
      <w:r>
        <w:t>GE Cour de justice, 2025-02-12, FR</w:t>
      </w:r>
    </w:p>
    <w:p>
      <w:r>
        <w:rPr>
          <w:b/>
        </w:rPr>
        <w:t xml:space="preserve">Quelle: </w:t>
      </w:r>
      <w:r>
        <w:t>https://mcp.opencaselaw.ch/entscheid/ge_gerichte_AARP_53_2025</w:t>
      </w:r>
    </w:p>
    <w:p>
      <w:r>
        <w:t>FR: GE_GERICHTE AARP/53/2025 du 12 février 2025</w:t>
      </w:r>
    </w:p>
    <w:p>
      <w:r>
        <w:t>IT: GE_GERICHTE AARP/53/2025 del 12 febbraio 2025</w:t>
      </w:r>
    </w:p>
    <w:p>
      <w:pPr>
        <w:pStyle w:val="Heading2"/>
      </w:pPr>
      <w:r>
        <w:t>Erwägungen</w:t>
      </w:r>
    </w:p>
    <w:p>
      <w:r>
        <w:rPr>
          <w:b/>
        </w:rPr>
        <w:t>E. 4.1</w:t>
      </w:r>
    </w:p>
    <w:p>
      <w:r>
        <w:t>L'appelant conteste la peine infligée au motif que le prononcé d'une amende violerait le droit supérieur, se fondant sur la jurisprudence de la CourEDH dans l'arrêt Lacatus c. Suisse. 4.2.1. Les infractions de mendicité (art. 11A al. 1 let. c ch. 2 LPG) sont punies de l'amende. 4.2.2. Dans son arrêt Lacatus c. Suisse, la CourEDH n'a pas exclu en soi une sanction pénale à la mendicité. Elle a néanmoins relevé que, eu égard à la situation précaire et</w:t>
      </w:r>
    </w:p>
    <w:p>
      <w:r>
        <w:t>- 8/12 - P/24154/2023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(arrêt Lacatus c. Suisse, § 108ss). Le Tribunal fédéral a confirmé depuis lors qu'il n'était pas admissible, au regard de la Cst. et de la CEDH, de sanctionner d'emblée la mendicité passive pratiquée dans certains lieux par une amende qui, au vu du dénuement des personnes concernées, était presqu'automatiquement convertie en jours de détention. Une amende, même modique et n'excédant pas CHF 50.-, ne pouvait ainsi être envisagée qu'en dernier recours, après que d'autres mesures mieux adaptées ont échoué (ATF 149 I 248 consid.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 La CPAR a toutefois exclu que cette jurisprudence s'applique lorsqu'une personne déclarée coupable de mendicité avait déjà été interpellée pour de tels actes (ACPR/46/2024 du 30 janvier 2024 consid. 2.4.4.5). 4.3.1. En l'occurrence, le TP a fait application des principes tirés de la jurisprudence de la CourEDH et du Tribunal fédéral, rappelés ci-avant, en renonçant à sanctionner la première occurrence réalisée par l'appelant, malgré les condamnations prononcées entre 2013 et 2020. Aucune sanction pénale n'a été prononcée contre l'appelant pour les faits du 1er septembre 2023, ce qui n'est pas remis en cause. Il en va différemment des occurrences du 25 septembre 2023 et 2 octobre 2023, puisque l'appelant a récidivé dans le mois qui a suivi, devant un autre magasin du quartier, alors que son attention avait été expressément attirée sur l'illicéité de son comportement le 1er septembre 2023. Par son comportement, le prévenu a démontré qu'il faisait fi de l'interdiction légale en vigueur à Genève et que, dès lors, des mesures administratives moins incisives seraient sans effet. Le prononcé d'une amende, convertible en peine privative de liberté en cas de non-paiement, n'est dès lors pas exclu en l'espèce au regard de la jurisprudence topique. Le principe du prononcé d'amende n'est, partant, pas disproportionné et doit être confirmé s'agissant des trois occurrences du 25 septembre et 2 octobre 2023.</w:t>
      </w:r>
    </w:p>
    <w:p>
      <w:r>
        <w:t>- 9/12 - P/24154/2023 4.3.2. L'appelant ne remet pas en cause la quotité de l'amende fixée par le TP en tant que telle. Le montant de CHF 250.- arrêté par le premier juge apparaît néanmoins trop élevé, au vu de la situation personnelle de l'appelant et de la jurisprudence de la CPAR en la matière (cf. AARP/46/2024 du 30 janvier 2024 ; AARP/417/2024 du 25 novembre 2024 ; AARP/449/2024 du 13 décembre 2024). Une peine de base de CHF 50.- pour les faits du 25 septembre 2023, augmentée de CHF 30.- pour chacune des deux occurrences du 2 octobre 2023, soit une amende globale de CHF 110.- sera prononcée, le jugement entrepris étant réformé en ce sens. La peine privative de liberté de substitution devra dès lors être fixée à un jour (art. 106 al. 2 CP).</w:t>
      </w:r>
    </w:p>
    <w:p>
      <w:r>
        <w:rPr>
          <w:b/>
        </w:rPr>
        <w:t>E. 5</w:t>
      </w:r>
    </w:p>
    <w:p>
      <w:r>
        <w:t>L'appelant, qui obtient très partiellement gain de cause (diminution de la peine), supportera 80% des frais de la procédure d'appel, y compris un émolument d'arrêt réduit de CHF 200.-, pour tenir compte de sa situation financière précaire (art. 425 et 428 al. 1 CPP). Le solde demeurera à la charge de l'État. Vu la confirmation des verdicts de culpabilité, la condamnation de l'appelant au paiement des frais de première instance sera confirmée (art. 428 al. 3 CPP cum art. 426 al. 1 CPP). Ceux-ci seront toutefois réduits de 4/5èmes afin d'éviter qu'ils n'apparaissent comme une sanction supplémentaire à ses yeux (art. 425 CPP).</w:t>
      </w:r>
    </w:p>
    <w:p>
      <w:r>
        <w:t>- 10/12 - P/24154/2023</w:t>
      </w:r>
    </w:p>
    <w:p>
      <w:r>
        <w:rPr>
          <w:b/>
        </w:rPr>
        <w:t>E. 6</w:t>
      </w:r>
    </w:p>
    <w:p>
      <w:r>
        <w:t>Au vu de son gain de cause partiel (art. 436 al. 2 CPP), une indemnité pour les dépenses liées à la procédure d'appel sera allouée au défenseur privé de l'appelant (art. 429 al. 1 à 3 CPP). Elle sera fixée ex aequo et bono à CHF 180.-, correspondant à 20% (par parallélisme avec la répartition des frais ; ATF 144 IV 207 consid. 1.8.2) de deux heures d'activité à CHF 450.- de l'heure, hors TVA vu le domicile à l'étranger de l'appelant. * * * * *</w:t>
      </w:r>
    </w:p>
    <w:p>
      <w:r>
        <w:t>- 11/12 - P/24154/2023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