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AARP/53/2022 vom 28. Februar 2022</w:t>
      </w:r>
    </w:p>
    <w:p>
      <w:r>
        <w:t>GE Cour de justice, 2022-02-28, FR</w:t>
      </w:r>
    </w:p>
    <w:p>
      <w:r>
        <w:rPr>
          <w:b/>
        </w:rPr>
        <w:t xml:space="preserve">Quelle: </w:t>
      </w:r>
      <w:r>
        <w:t>https://mcp.opencaselaw.ch/entscheid/ge_gerichte_AARP_53_2022</w:t>
      </w:r>
    </w:p>
    <w:p>
      <w:r>
        <w:t>FR: GE_GERICHTE AARP/53/2022 du 28 février 2022</w:t>
      </w:r>
    </w:p>
    <w:p>
      <w:r>
        <w:t>IT: GE_GERICHTE AARP/53/2022 del 28 febbraio 2022</w:t>
      </w:r>
    </w:p>
    <w:p>
      <w:pPr>
        <w:pStyle w:val="Heading2"/>
      </w:pPr>
      <w:r>
        <w:t>Erwägungen</w:t>
      </w:r>
    </w:p>
    <w:p>
      <w:r>
        <w:rPr>
          <w:b/>
        </w:rPr>
        <w:t>E. 1</w:t>
      </w:r>
    </w:p>
    <w:p>
      <w:r>
        <w:t>Les appels et appel joint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Appel de C______</w:t>
      </w:r>
    </w:p>
    <w:p>
      <w:r>
        <w:rPr>
          <w:b/>
        </w:rPr>
        <w:t>E. 2.1</w:t>
      </w:r>
    </w:p>
    <w:p>
      <w:r>
        <w:t>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w:t>
      </w:r>
    </w:p>
    <w:p>
      <w:r>
        <w:t>- 10/27 - P/22053/2020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Il ne faut pas poser des exigences trop élevées en ce qui concerne l'hypothèse d'une "menace pour l'ordre public et la sécurité publique". En particulier, il n'est pas nécessaire que la personne concernée constitue une menace concrète, actuelle et suffisamment grave affectant un intérêt fondamental de la société. Il suffit qu'elle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(arrêt du Tribunal fédéral 6B_1178/2019 du 10 mars 2021 destiné à la publication consid. 4.6 et 4.8).</w:t>
      </w:r>
    </w:p>
    <w:p>
      <w:r>
        <w:rPr>
          <w:b/>
        </w:rPr>
        <w:t>E. 2.1.2</w:t>
      </w:r>
    </w:p>
    <w:p>
      <w:r>
        <w:t>p. 315 ss ; arrêt du Tribunal fédéral 6B_1428/2019 du 5 février 2020 consid. 1.1.2). La condition objective est notamment remplie dès que l'infraction porte sur une quantité d'au moins 18 grammes de cocaïne pure (ATF 145 IV 312 consid. 2.1 ; 138 IV 100 consid. 3.2). 3.2.1. L'appelant A______ ne conteste pas, à raison vu les éléments du dossier, avoir accepté de mettre sa chambre à disposition de ses comparses C______ et E______, dont il savait qu'ils étaient des trafiquants de stupéfiants, et avoir requis et obtenu le consentement du locataire principal. Il reconnaît également avoir régulièrement accédé à ladite chambre, certes après en avoir avisé E______, notamment afin d'obtenir les quantités de drogues commandées par ses amis. Il résulte de ses propres déclarations, à tout le moins dans la mesure où il n'a donné aucun détail contraire, qu'il restait alors dans la chambre, le temps que ses fournisseurs préparent la quantité utile, étant rappelé qu'une balance électronique a été retrouvée sur la table à côté des sachets de drogue. À d'autres occasions, il allait en quérir pour sa propre consommation. Il s'ensuit nécessairement non seulement qu'il savait que les deux hommes conservaient de la cocaïne dans la pièce, mais aussi qu'il a vu ce stock, d'où les doses à lui remettre étaient extraites. Aussi, les protestations de l'appelant selon lesquelles il pensait qu'il n'y avait pas plus de cinq grammes, destinés à la satisfaction des besoins personnels des deux autres protagonistes, ne convainquent pas. Certes, le locataire principal s'est également dit surpris d'apprendre l'importance du stock en cause, mais son cas n'est pas comparable, puisqu'il n'a pas eu la même activité de rabatteur et intermédiaire. Certes également, la collaboration de l'appelant a été bonne mais il reste qu'il minimise son implication, attribuant son comportement à une toxicomanie ni établie, ni vraisemblable (cf. infra consid 4.2) de sorte que ses déclarations à sa propre décharge doivent être appréciées avec circonspection. Il est donc retenu que cet appelant savait et a accepté que E______ et C______ détenaient dans la chambre qu'il a mis à leur disposition un stock de cocaïne afin non seulement de satisfaire leurs besoins personnels et les siens propres, mais également destiné à la vente, notamment celle à ses propres amis.</w:t>
      </w:r>
    </w:p>
    <w:p>
      <w:r>
        <w:t>- 13/27 - P/22053/2020 3.2.2. Reste à déterminer s'il savait ou avait envisagé que ce stock pût atteindre 92 grammes de cocaïne pure, comme cela était le cas le 18 novembre 2020. Le fait que la drogue a été saisie en fin de journée pourrait être un indice en ce sens, l'appelant ayant possiblement passé la journée entière à proximité. Néanmoins, il ne résulte pas du dossier qu'au moins un consommateur rabattu par lui serait venu sur place ce jour-là, ce qui l'aurait conduit à se rendre dans la chambre chercher la quantité commandée, selon la pratique mise en place entre les trois hommes. Il n'est donc pas établi qu'il s'est rendu dans la chambre le 18 novembre 2020. Pour le surplus, on ignore comment a évolué la provision de drogue, soit si E______ et C______ se sont installés dans les lieux avec une quantité importante, dont les 92 grammes saisis ne seraient que le solde, ou s'ils se sont réapprovisionnés à une ou plusieurs reprises. Il est ainsi impossible de déterminer quelle était l'importance du stock aux diverses occasions où l'appelant s'est rendu dans la chambre et a eu tout loisir de l'observer et donc d'affirmer qu'au moins à l'une de ces reprises, il a vu qu'il y avait plus de 18 grammes de cocaïne pure. Dans le doute, il faudra retenir l'hypothèse la plus favorable, non sur la base des dénégations du prévenu, mais faute de preuve à charge, et admettre que ce n'a pas été le cas. 3.2.3. L'appelant a également été reconnu coupable d'avoir vendu une quantité indéterminée de cocaïne, par référence à son rôle d'apporteur de clients. L'acte d'accusation ne mentionne pas le nombre d'occurrences retenues mais l'appelant avait parlé d'une vingtaine de cas. À supposer qu'une seule dose d'un gramme ait été vendue à chaque fois, et par référence à la grande pureté de la drogue saisie, dont l'appelant n'a jamais affirmé qu'elle était coupée en sa présence, on se trouverait à tout le moins très proche du seuil de 18 grammes. Sur cette base, il peut être retenu que ledit seuil a été globalement dépassé par l'addition des quantités intermédiées et du stock codétenu, sans que l'on puisse affirmer qu'il l'a été de beaucoup. 3.2.4. L'appel est dès lors rejeté, par substitution de motifs.</w:t>
      </w:r>
    </w:p>
    <w:p>
      <w:r>
        <w:rPr>
          <w:b/>
        </w:rPr>
        <w:t>E. 2.2</w:t>
      </w:r>
    </w:p>
    <w:p>
      <w:r>
        <w:t>Ayant été condamné à une peine privative de liberté de 18 mois, cet appelant se trouve dans un cas où le signalement dans le SIS s'impose en principe, quand bien même il a été mis au bénéfice du sursis. Vu la nature de l'infraction commise, il représente a priori une menace concrète, actuelle et suffisamment grave affectant un intérêt fondamental de la société, étant rappelé que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6B_1192/2018 du 23 janvier 2019 consid. 2.2.3).</w:t>
      </w:r>
    </w:p>
    <w:p>
      <w:r>
        <w:t>L'appelant échoue à démontrer que l'extension de la mesure à l'ensemble de l'espace Schengen serait disproportionnée. Il n'établit en effet nullement qu'il aurait des réelles attaches en Italie, la présence alléguée de cousins, au sujet desquels aucun détail n'a du reste été donné, a fortiori documenté, ne serait en effet pas suffisante, comme souligné par le MP. Selon ses propres allégations, il n'y a travaillé que durant deux ou trois mois, eu égard à la période durant laquelle un ressortissant albanais</w:t>
      </w:r>
    </w:p>
    <w:p>
      <w:r>
        <w:t>- 11/27 - P/22053/2020 peut séjourner licitement dans le pays, ce qui permet de supposer qu'il n'y bénéficie d'aucune autorisation de séjour. Si tel était le cas, il n'aurait d'ailleurs pas manqué de le dire et de produire les pièces utiles. De surcroît, il a lui-même indiqué que son emploi italien avait pris fin avant son arrestation et qu'il s'apprêtait à retourner en Albanie depuis Genève. Il n'y a pas davantage lieu de tenir compte du fait que l'appelant aurait travaillé en Grèce, faute de plus amples explications. Il ne le soutient d'ailleurs pas à l'appui de son appel. Sa famille, notamment son père et, à lire son mémoire d'appel, un frère médecin, vit en Albanie et lui-même a déclaré souhaiter retourner dans son pays pour y fonder une famille et y exercer un emploi. Il n'y a ainsi dans son cas aucun motif de renoncer à l'inscription querellée, de sorte que l'invocation de trois situation isolées où une solution contraire a été admise est vaine (cf. la jurisprudence en matière de comparaison de peines : ATF 141 IV 61 consid. 6.3.2 ; ATF 135 IV 191 consid. 3.1 ; arrêt du Tribunal fédéral 6B_353/2016 du 30 mars 2017 consid. 3.2 ; ATF 123 IV 49 consid. 2e ; ATF 120 IV 136 consid. 3a et les références). L'argument tiré de ce que le TP n'a pas ordonné le signalement dans le SIS de la mesure prononcée à l'encontre de l'appelant A______ est inopérant, ce dernier étant ressortissant d'un Etat membre de l'espace Schengen.</w:t>
      </w:r>
    </w:p>
    <w:p>
      <w:r>
        <w:rPr>
          <w:b/>
        </w:rPr>
        <w:t>E. 2.3</w:t>
      </w:r>
    </w:p>
    <w:p>
      <w:r>
        <w:t>L'appel est partant rejeté.</w:t>
      </w:r>
    </w:p>
    <w:p>
      <w:r>
        <w:t>A______</w:t>
      </w:r>
    </w:p>
    <w:p>
      <w:r>
        <w:rPr>
          <w:b/>
        </w:rPr>
        <w:t>E. 3</w:t>
      </w:r>
    </w:p>
    <w:p>
      <w:r>
        <w:t>3.1.1. L'art. 19 LStup ne réprime pas globalement le "trafic de stupéfiants", mais érige différents comportements en autant d'infractions indépendantes, chaque acte, même répété, constituant une infraction distincte (ATF 137 IV 33 consid. 2.1.3 p. 39 ; ATF 133 IV 187 consid. 3.2 p. 193 ; arrêts du Tribunal fédéral 228/2018 du 22 août 2018 consid. 4.1 ; 6B_1335/2016 du 5 septembre 2017 consid. 2.2 ; 6B_474/2016 du 6 février 2017 consid. 3.1).</w:t>
      </w:r>
    </w:p>
    <w:p>
      <w:r>
        <w:t>3.1.2. Selon la jurisprudence,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Tel est notamment le cas de celui qui offre à un trafiquant les locaux où celui-ci peut cacher la drogue (ATF 119 IV 266 consid. 3c). Selon l'art. 19 ch. 2 let. a LStup, le cas est grave lorsque l'auteur sait ou ne peut ignorer que l'infraction peut directement ou indirectement mettre en danger la santé de nombreuses personnes. 3.1.3. La formulation de l'art. 19 al. 2 let. a LStup contient une condition objective (la mise en danger, directe ou indirecte, de la vie de nombreuses personnes) et une</w:t>
      </w:r>
    </w:p>
    <w:p>
      <w:r>
        <w:t>- 12/27 - P/22053/2020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- 14/27 - P/22053/2020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4.1.2.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w:t>
      </w:r>
    </w:p>
    <w:p>
      <w:r>
        <w:t>- 15/27 - P/22053/2020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4.1.3.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4.2</w:t>
      </w:r>
    </w:p>
    <w:p>
      <w:r>
        <w:t>Il a été retenu ci-dessus que le trafic de stupéfiants auquel l'appelant A______ a participé relevait bien de l'aggravante de l'art. 19 al. 2 let. a LStup mais qu'il ne pouvait être admis que le seuil de quantité fondant cette qualification a été dépassé de manière conséquente. Il s'ensuit que la peine ne saurait être inférieure à un an, aucune circonstance atténuante n'étant réalisée, ni du reste plaidée. Dès lors qu'on se trouve possiblement proche dudit seuil, il n'y a pas de raison de s'écarter de la peine minimum, retenue par le TP dans la mesure où, comme souligné dans le jugement, auquel il est renvoyé, et du reste concédé par le MP, les autres critères pertinents sont plutôt favorables ou, au pire, neutre (l'absence d'antécédent). Un facteur qui pourrait jouer à charge, tient à la tendance de l'appelant à minimiser sa faute, en justifiant son comportement par une toxicodépendance ou, sous la plume de son conseil, une addiction, qui n'est ni établie ni vraisemblable, vu l'absence de symptômes de sevrage ensuite de l'incarcération de l'intéressé. Cet élément est cependant contrebalancé par le fait que pour le surplus la collaboration a été en effet très bonne, ce qui fait qu'en définitive, tout bien pesé, elle doit être qualifiée de bonne. Vu ladite tendance, manifestée encore en appel, la prise de conscience est imparfaite, ce que démontrent également les manifestations de regret, autocentrées, mais ce n'est pas suffisant pour aggraver la peine.</w:t>
      </w:r>
    </w:p>
    <w:p>
      <w:r>
        <w:rPr>
          <w:b/>
        </w:rPr>
        <w:t>E. 4.3</w:t>
      </w:r>
    </w:p>
    <w:p>
      <w:r>
        <w:t>L'appel est donc rejeté en ce qui concerne la peine, de même que l'appel joint du MP.</w:t>
      </w:r>
    </w:p>
    <w:p>
      <w:r>
        <w:rPr>
          <w:b/>
        </w:rPr>
        <w:t>E. 5.1</w:t>
      </w:r>
    </w:p>
    <w:p>
      <w:r>
        <w:t>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w:t>
      </w:r>
    </w:p>
    <w:p>
      <w:r>
        <w:t>- 16/27 - P/22053/2020 intérêts publics à l'expulsion ne l'emportent pas sur l'intérêt privé de l'étranger à demeurer en Suisse. Pour déterminer les intérêts publics au sens de cette disposition et les pondérer par rapport aux intérêts privés, la nature et la gravité de l'infraction commise, la dangerosité que représente l'auteur pour la sécurité publique et le pronostic concernant le risque de récidive sont au premier plan. S'agissant du risque de réitération, le tribunal peut également prendre en compte les infractions commises par l'étranger avant l'entrée en vigueur de l'art. 66a CP.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 144 IV 332 consid. 3.3 ; arrêt du Tribunal fédéral 6B_914/2020 26 avril 2021 consid. 1.6.1 et les références citées).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w:t>
      </w:r>
    </w:p>
    <w:p>
      <w:r>
        <w:t>- 17/27 - P/22053/2020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Un séjour légal de dix années suppose en principe une bonne intégration de l'étranger (ATF 144 I 266 consid. 3.9 ; arrêt du Tribunal fédéral 6B_1431/2019 du 12 février 2020 consid. 1.3.1). La deuxième phrase de l'art. 66a al. 2 CP impose expressément de prendre en considération la situation particulière de l'étranger qui est né ou qui a grandi en Suisse. L'examen de la clause de rigueur doit être effectué dans chaque cas sur la base des critères d'intégration habituels.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À l'inverse, on peut partir du principe que le temps passé en Suisse est d'autant moins marquant que le séjour et la scolarité achevée en Suisse sont courts, de sorte que l'intérêt privé à rester en Suisse doit être considéré comme moins fort. Partant, selon la jurisprudence rendue en droit des étrangers, si la révocation de l'autorisation d'établissement d'un étranger qui séjourne depuis longtemps en Suisse doit se faire avec une retenue particulière, elle n'est pas exclue en cas d'infractions graves ou répétées, même s'agissant d'un étranger né en Suisse et qui y a passé l'entier de sa vie. On tiendra alors particulièrement compte de l'intensité des liens de l'étranger avec la Suisse et des difficultés de réintégration dans son pays d'origine (ATF 146 IV 105 consid. 3.4.4 p. 109 ; 144 IV 332 consid. 3.3.2 et 3.3.3 et</w:t>
      </w:r>
    </w:p>
    <w:p>
      <w:r>
        <w:t>- 18/27 - P/22053/2020 les arrêts cités ; arrêt du Tribunal fédéral 6B_153/2020 du 28 avril 2020 consid. 1.4.1).</w:t>
      </w:r>
    </w:p>
    <w:p>
      <w:r>
        <w:rPr>
          <w:b/>
        </w:rPr>
        <w:t>E. 5.2</w:t>
      </w:r>
    </w:p>
    <w:p>
      <w:r>
        <w:t>En l'espèce, l'appelant se trouve bien dans un cas d'expulsion obligatoire (art. 66a al. 1 let. o CP). Sans doute a-t-il un intérêt à être autorisé à continuer de vivre en Suisse, vu ses deux séjours (neuf ans dans son enfance puis huit ans à la date du prononcé du présent arrêt). Reste à déterminer si cet intérêt est suffisamment important pour relever de la clause de rigueur de l'art. 66a al. 2 CP.</w:t>
      </w:r>
    </w:p>
    <w:p>
      <w:r>
        <w:t>L'appelant n'est pas né en Suisse bien qu'il y soit arrivé alors qu'il n'avait guère que</w:t>
      </w:r>
    </w:p>
    <w:p>
      <w:r>
        <w:rPr>
          <w:b/>
        </w:rPr>
        <w:t>E. 5.3</w:t>
      </w:r>
    </w:p>
    <w:p>
      <w:r>
        <w:t>L'appel est dès lors rejeté en ce qu'il porte sur la mesure d'expulsion.</w:t>
      </w:r>
    </w:p>
    <w:p>
      <w:r>
        <w:rPr>
          <w:b/>
        </w:rPr>
        <w:t>E. 5.4</w:t>
      </w:r>
    </w:p>
    <w:p>
      <w:r>
        <w:t>Il n'y a pas lieu d'étendre les effets de dite mesure à l'ensemble de l'espace Schengen, le prévenu étant ressortissant d'un État membre ainsi que retenu à raison par le TP et incontesté par le MP. 6. Les trois appels ou appel joint sont rejetés, de sorte qu'il convient de répartir les frais de la procédure d'appel, comprenant un émolument d'arrêt de CHF 2'000.-, entre leurs auteurs, en tenant compte de la mesure dans laquelle chacun succombe (art. 428 al. 1 CPP et art. 14 al. 1 let e du Règlement fixant le tarif des frais en matière pénale [RTFMP]). L'appelant C______ et le MP avaient limité leur contestation chacun à un point du jugement alors que l'appelant A______ en remettait en cause plusieurs. Il supportera donc 50% des frais, contre 25% pour son co-appelant et 25% pour l'État de Genève.</w:t>
      </w:r>
    </w:p>
    <w:p>
      <w:r>
        <w:t>Vu l'issue de la procédure, il n'y a pas lieu de revoir la répartition des frais de la procédure préliminaire et de première instance. 7. 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ou une chef.fe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w:t>
      </w:r>
    </w:p>
    <w:p>
      <w:r>
        <w:t>- 20/27 - P/22053/2020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 de brèves observations ou déterminations (AARP/157/2016 du 14 avril 2016 consid. 5.2.3.2 et 5.3 ; AARP/33/2016 du 29 janvier 2016, AARP/326/2015 du</w:t>
      </w:r>
    </w:p>
    <w:p>
      <w:r>
        <w:rPr>
          <w:b/>
        </w:rPr>
        <w:t>E. 10</w:t>
      </w:r>
    </w:p>
    <w:p>
      <w:r>
        <w:t>mois. Il y a vécu jusqu'à ses neuf ans environ puis est retourné au Portugal où il a vécu auprès de ses parents et été intégré, suivant notamment un parcours scolaire complet puisqu'il y a achevé ses études secondaires. Il ne se trouve donc pas dans le cas de l'étranger né ou ayant grandi en Suisse à laquelle ladite disposition réserve une attention particulière.</w:t>
      </w:r>
    </w:p>
    <w:p>
      <w:r>
        <w:t>Il ne peut se prévaloir de la protection de la vie familiale au sens des art. 8 CEDH et</w:t>
      </w:r>
    </w:p>
    <w:p>
      <w:r>
        <w:rPr>
          <w:b/>
        </w:rPr>
        <w:t>E. 13</w:t>
      </w:r>
    </w:p>
    <w:p>
      <w:r>
        <w:t>Cst, étant séparé de son épouse, qui réside apparemment en Suisse, et sans enfant. Certes, il affirme vouloir donner une seconde chance à son union mais n'a fourni aucun élément permettant de penser que ce dessein aurait une quelconque chance de succès. En particulier, rien n'indique que son épouse serait dans la même disposition, cinq ans après leur séparation. La présence de cousins, tante et oncle dans la région ______ [VD] ne relève pas de dite garantie, ne s'agissant pas de membres de la famille au sens étroit, alors que ses parents demeurent toujours au Portugal et sa sœur vit à ______ [F].</w:t>
      </w:r>
    </w:p>
    <w:p>
      <w:r>
        <w:t>Le droit au respect de la vie privée ne saurait pas non plus être invoqué. Au regard du parcours de l'appelant (échec de son union, emploi à faible revenu qu'il souhaite quitter mais sans être en mesure d'évoquer et étayer un projet concret, consommation de stupéfiants, certes terminée, absence de véritable logement, pas de preuve de liens amicaux particulièrement forts ou d'implication dans la communauté, par exemple au plan associatif ou culturel), on ne saurait affirmer que l'appelant a des liens sociaux ou professionnels spécialement intenses avec la Suisse, notablement supérieurs à ceux qui résultent d'une intégration ordinaire (ATF 144 1 consid 6.1). Son séjour, légal, actuel en Suisse est long mais n'atteint pas les 10 ans fondant la présomption d'une bonne intégration (ATF 144 I 266 consid. 3.9 ; arrêt non publié 6B_94/2021 consid. 7.2 du 24 septembre 2021).</w:t>
      </w:r>
    </w:p>
    <w:p>
      <w:r>
        <w:t>Aussi, force est de constater que le cas de rigueur n'est pas réalisé, ce qui dispense la juridiction d'appel d'examiner la question de la proportionnalité de la mesure. À toute bonne fin, il sera néanmoins, d'une part, rappelé, derechef, que la Cour européenne</w:t>
      </w:r>
    </w:p>
    <w:p>
      <w:r>
        <w:t>- 19/27 - P/22053/2020 des droits de l'Homme estime que, compte tenu des ravages de la drogue dans la population, les autorités sont fondées à faire preuve d'une grande fermeté à l'encontre de ceux qui contribuent à la propagation de ce fléau, ce qui rend les intérêts présidant à l'expulsion de l'intéressé importants (arrêt du Tribunal fédéral 6B_1329/2018 du</w:t>
      </w:r>
    </w:p>
    <w:p>
      <w:r>
        <w:rPr>
          <w:b/>
        </w:rPr>
        <w:t>E. 14</w:t>
      </w:r>
    </w:p>
    <w:p>
      <w:r>
        <w:t>février 2019 consid. 2.4.2), d'autre part, observé que les perspectives d'intégration de l'appelant dans son pays ne paraissent pas moins bonnes qu'en Suisse.</w:t>
      </w:r>
    </w:p>
    <w:p>
      <w:r>
        <w:rPr>
          <w:b/>
        </w:rPr>
        <w:t>E. 16</w:t>
      </w:r>
    </w:p>
    <w:p>
      <w:r>
        <w:t>juillet 2015 et AARP/302/2013 du 14 juin 2013 ; AARP/281/2015 du 25 juin 2015; AARP/277/2014 du 17 juin 2014 ; AARP/131/2014 du 25 mars 2014).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 AARP/142/2016 du 14 avril 2016 consid. 5.4.1, AARP/281/2015 du 25 juin 2015 et AARP/272/2015 du 1er juin 2015 ; AARP/184/2016 du 28 avril 2016 consid. 5.3.1, AARP/158/2016 du 22 avril 2016 consid. 6.3 et AARP/525/2015 du 14 décembre 2015 consid. 7.2.2), contrairement au cas où un examen plus poussé s'impose, notamment aux fins de déterminer l'opportunité d'un recours au plan cantonal (AARP/184/2016 du 28 avril 2016 consid. 5.3.1 et AARP/158/2016 du 22 avril 2016 consid. 6.3). 7.2.1. En application des principes qui précèdent, il convient de retrancher des états de frais de Me D______ :</w:t>
      </w:r>
    </w:p>
    <w:p>
      <w:r>
        <w:t>- 21/27 - P/22053/2020 - deux heures d'analyse du jugement, étant rappelé que cette décision comporte un long rappel des faits, censés bien connus de l'avocate qui assistait son client depuis le début de la procédure, et qu'il traite le sort de trois prévenus de sorte que seule une partie concerne l'appelant C______. Dès lors, la lecture et analyse de ce document tombe sous le coup du forfait ; - l'établissement de la déclaration d'appel, couvert par le forfait, et du bordereau de pièces annexé, parfaitement inutile, s'agissant de documents extraits de la procédure, dont la Cour était partant déjà nantie ; - le courrier acceptant la procédure écrite, également couvert par le forfait ; - le temps inutilement passé à examiner l'appel joint, qui vise le co-appelant de son client, et à y répondre ; - l'examen de la réponse du MP, qui doit également être tenu pour couvert par le forfait, dite écriture étant, à raison, succincte (deux pages et demi dont une demie page de subsomption) et l'établissement de la réplique, non nécessaire puisque n'évoquant pas l'objet de l'appel. Le temps nécessaire à la rédaction du mémoire d'appel sera ramené à deux heures, amplement suffisantes pour aborder la seule question du signalement de l'expulsion dans le SIS. Ceci fait, subsistent les deux heures précitées et trente minutes pour une conférence téléphonique avec le client. 7.2.2. La rémunération de la défenseure d'office de l'appelant C______ sera arrêtée à CHF 592.35 pour deux heures et trente minutes d'activité (une heure et 50 minutes arrondie) au taux horaire de CHF 200.- + le forfait de 10% (CHF 50.-) + la TVA (CHF 42.35). 7.3.1. Il convient également de retrancher ou réduire certains postes de l'état de frais de Me B______, soit : - un heure d'entretien avec le client sur les deux facturées, 60 minutes suffisant pour l'orienter sur l'opportunité d'un appel et la suite de la procédure ainsi que recueillir d'éventuelles informations pertinentes, étant rappelé qu'aucune n'a en définitive été fournie à la CPAR ; - le temps consacré à l'étude du dossier. L'examen du jugement relève, dans ce cas également, du forfait, pour les mêmes motifs que développé ci-dessus. Il était inutile d'examiner la déclaration de l'appelant C______, qui ne concernait pas son coprévenu. L'analyse de l'appel joint du MP est aussi déjà couverte par le forfait, dès lors que ledit acte reprend pour l'essentiel les considérants du jugement, déjà</w:t>
      </w:r>
    </w:p>
    <w:p>
      <w:r>
        <w:t>- 22/27 - P/22053/2020 examinés par le défenseur d'office lors de la rédaction de son propre appel. Du reste, il a, à raison, renoncé à répondre, renvoyant à son écriture précitée ; - le temps nécessaire à la rédaction du mémoire d'appel sera ramené à quatre heures, devant suffire à un chef d'étude, supposé rapide et expéditif, qui connaissait bien le dossier et compte tenu des points discutés, qui ne posaient pas de difficulté juridique particulière. 7.3.2. La rémunération du défenseur d'office de l'appelant A______ est ainsi arrêtée à CHF 1'184.70 pour cinq heures d'activité au tarif horaire de CHF 200.- + le forfait de 10% (CHF 100.-) + la TVA (CHF 84.70)</w:t>
      </w:r>
    </w:p>
    <w:p>
      <w:r>
        <w:t>* * * * *</w:t>
      </w:r>
    </w:p>
    <w:p>
      <w:r>
        <w:t>- 23/27 - P/22053/2020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