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AARP/539/2015 vom 17. Dezember 2015</w:t>
      </w:r>
    </w:p>
    <w:p>
      <w:r>
        <w:t>GE Cour de justice, 2015-12-17, FR</w:t>
      </w:r>
    </w:p>
    <w:p>
      <w:r>
        <w:rPr>
          <w:b/>
        </w:rPr>
        <w:t xml:space="preserve">Quelle: </w:t>
      </w:r>
      <w:r>
        <w:t>https://mcp.opencaselaw.ch/entscheid/ge_gerichte_AARP_539_2015</w:t>
      </w:r>
    </w:p>
    <w:p>
      <w:r>
        <w:t>FR: GE_GERICHTE AARP/539/2015 du 17 décembre 2015</w:t>
      </w:r>
    </w:p>
    <w:p>
      <w:r>
        <w:t>IT: GE_GERICHTE AARP/539/2015 del 17 dicembre 2015</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- 9/21 - P/19344/2013</w:t>
      </w:r>
    </w:p>
    <w:p>
      <w:r>
        <w:t>1.2.1 Les deux appelants arguent à titre préalable que le premier juge ne pouvait retenir leur culpabilité en tant que coauteurs du trafic de stupéfiants dès lors que le Ministère public a retenu dans les ordonnances pénales frappées d'opposition un rôle de complices. Il y aurait à les entendre violation du principe de l'accusation.</w:t>
      </w:r>
    </w:p>
    <w:p>
      <w:r>
        <w:t>1.2.2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w:t>
      </w:r>
    </w:p>
    <w:p>
      <w:r>
        <w:t>Le tribunal est lié par l'état de fait décrit dans l'acte d'accusation mais non par l'appréciation juridique qu'en fait le ministère public (art. 350 al. 1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t>Tant dans le cas de l'art. 333 CPP que dans celui de l'art. 344 CPP, le tribunal souhaite s'écarter du contenu de l'acte d'accusation. Dans la première hypothèse, c'est la partie factuelle qui ne correspond pas à l'appréciation qu'il s'est fait de l'affaire : un renvoi devant le ministère public de l'acte d'accusation s'impose ; dans la seconde, c'est la partie juridique et un tel renvoi n'est pas nécessaire.</w:t>
      </w:r>
    </w:p>
    <w:p>
      <w:r>
        <w:t>Toutefois, selon la doctrine,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 / T. HANSJAKOB / V. LIEBER (éds), Kommentar zur Schweizerischen Strafprozess- 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Strafprozessordnung –</w:t>
      </w:r>
    </w:p>
    <w:p>
      <w:r>
        <w:t>- 10/21 - P/19344/2013 Jugendstrafprozessordnung, Basler Kommentar StPO/ JStPO, 2e éd., Bâle 2014, n. 52 ss ad art. 9).</w:t>
      </w:r>
    </w:p>
    <w:p>
      <w:r>
        <w:t>1.2.3 Il n'est pas douteux que le complexe de faits décrit dans les ordonnances pénales traite de l'importation de stupéfiants en Suisse, le 16 août 2013, dans des quantités qui font que le seuil de 18 grammes imposé par la jurisprudence et la doctrine est largement dépassé (ATF 109 IV 143 consid. 3b p. 145 ; arrêt du Tribunal fédéral 6B_632/2008 du 10 mars 2009 consid. 2 ; B. CORBOZ, Les infractions en droit suisse, 3e édition, Berne 2010, vol. II, n. 81 ad art. 19).</w:t>
      </w:r>
    </w:p>
    <w:p>
      <w:r>
        <w:t>L'activité déployée par les appelants est sommairement décrite, de la manière prescrite par l'art. 325 CPP, la facilitation du passage en douane étant d'ailleurs évoquée par E______ lui-même. Seule la qualification juridique diffère, ce qui a conduit le premier juge à en informer les parties, en conformité avec les exigences posées par l'art. 344 CPP. Il s'ensuit que la procédure appliquée par le Tribunal de police n'a pas violé le principe de l'accusation. Les appelants seront déboutés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- 11/21 - P/19344/2013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2.2.1 Agit comme complice, celui qui prête intentionnellement assistance à l'auteur pour commettre un crime ou un délit (cf. art. 25 CP).</w:t>
      </w:r>
    </w:p>
    <w:p>
      <w:r>
        <w:t>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(ATF 132 IV 49 consid. 1.1 p. 51-52 ; 121 IV 109 consid. 3a p. 119-120 ; arrêt du Tribunal fédéral 6B_72/2009 du 20 mai 2009 consid. 2.1.). Il suffit que le complice connaisse les principaux traits de l'activité délictueuse qu'aura l'auteur, lequel doit donc avoir pris la décision de l'acte (ATF 132 IV 49 consid. 1.1 p. 51-52 ; 121 IV 109 consid. 3a p. 119-120 ; arrêt du Tribunal fédéral 6B_72/2009 du 20 mai 2009 consid. 2.1.).</w:t>
      </w:r>
    </w:p>
    <w:p>
      <w:r>
        <w:t>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w:t>
      </w:r>
    </w:p>
    <w:p>
      <w:r>
        <w:t>- 12/21 - P/19344/2013 ait une certaine maîtrise des opérations et que son rôle soit plus ou moins indispensable (ATF 120 IV 17 consid. 2d p. 23 ; 136 consid. 2b p. 141 ; 265 consid. 2c/aa p. 271 s. ; 118 IV 397 consid. 2b p. 399).</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En matière d'infraction à l'art. 19 LStup, dès que le prévenu accomplit l'un des actes visés par cette disposition, il est l'auteur de l'infraction, une participation à un autre titre, telle une complicité, n'entrant pas en considération (ATF 133 IV 187 consid. 3.2 ; arrêt 6B_500/2014 du 29 décembre 2014 consid. 1.1 in fine).</w:t>
      </w:r>
    </w:p>
    <w:p>
      <w:r>
        <w:rPr>
          <w:b/>
        </w:rPr>
        <w:t>E. 2.3</w:t>
      </w:r>
    </w:p>
    <w:p>
      <w:r>
        <w:t>Les précédents voyages en Suisse centrale des membres de la famille A______ et B______ ne présentent pas d'intérêt en eux-mêmes, dès lors que seul le déplacement du 16 août 2013 leur est reproché. Il reste que l'implication des appelants dans les précédents voyages, le but de leurs séjours et ce qu'ils ont pu en dire sont de nature à fournir un éclairage probant sur les faits reprochés. Le Ministère public ne s'y est pas trompé, dans la mesure où il y a consacré une partie centrale de son instruction.</w:t>
      </w:r>
    </w:p>
    <w:p>
      <w:r>
        <w:t>E______, mari et respectivement père des appelants, a toujours pris soin de les épargner, en soutenant qu'ils n'étaient pour rien dans le trafic reproché. En plus du fait qu'il ne faut pas minimiser le poids du rapport familial, ses mises hors de cause auraient été plus convaincantes s'il n'avait pas lui-même cherché à minimiser son implication, commençant par souligner qu'il n'était venu en Suisse que deux fois avant août 2013. Il a admis finalement avoir effectué plus de trois voyages, sans pour autant reconnaître l'entier de ses déplacements, fournissant des versions assez rocambolesques sur les buts poursuivis et le tiers qui l'accompagnait.</w:t>
      </w:r>
    </w:p>
    <w:p>
      <w:r>
        <w:t>Les appelants ne sont pas en reste.</w:t>
      </w:r>
    </w:p>
    <w:p>
      <w:r>
        <w:t>Pour l'appelante, l'amie colombienne est devenue une cousine de son mari. Ils avaient profité d'un gîte et d'un couvert quasi gratuit, ce qui ne l'empêchait pas d'ignorer jusqu'au prénom de l'époux du couple généreux et son adresse. Elle n'avait pu se rendre compte de la différence entre deux villes comme Lucerne et Olten, pourtant distantes de plusieurs dizaines de kilomètres et pas vraiment comparables, ne serait- ce que pour l'emplacement de Lucerne au bord d'un lac. L'argent qu'elle possédait en euros était le fruit de son travail comme femme de ménage avant qu'il ne représente une avance sur salaire de son employeur. C'est sans compter la version de son mari privilégiant la piste de valeurs provenant des économies du couple, voire des gains sur les tombolas.</w:t>
      </w:r>
    </w:p>
    <w:p>
      <w:r>
        <w:t>- 13/21 - P/19344/2013</w:t>
      </w:r>
    </w:p>
    <w:p>
      <w:r>
        <w:t>L'appelant a commencé par dire à la police qu'il ne connaissait personne à Lucerne et que son père n'avait faite aucune rencontre, avant de se raviser en pensant à J______. Olten lui était tout autant inconnu qu'à sa mère avant que le Ministère public ne lui rafraichisse la mémoire sur la base des aveux de son père. Il ne savait rien des multiples déplacements de ses parents sous prétexte de dormir de temps en temps chez son amie, sans documenter de quelque façon que ce soit cette dernière assertion.</w:t>
      </w:r>
    </w:p>
    <w:p>
      <w:r>
        <w:t>Ces non-dits, auxquels il faut ajouter pour les deux appelants des déplacements occultés en Italie avant que la téléphonie n'en révèle l'existence, laissent une part d'ombre sur les motivations réelles des voyages accomplis par les appelants.</w:t>
      </w:r>
    </w:p>
    <w:p>
      <w:r>
        <w:t>En fait, le déplacement du 16 août 2013, dont il est établi qu'il a servi à importer de la cocaïne, fait écho aux explications fantaisistes fournies pour justifier les précédents voyages d'avril, juin et juillet 2013. Economiquement, ces périodes de vacances ne répondent à aucune logique. Même en profitant de l'hospitalité généreuse de tiers, il n'est guère concevable que trois adultes projettent des vacances en Suisse avec des revenus mensuels globaux légèrement supérieurs à EUR 2'000.-. Si la famille espagnole lambda avait les moyens de partir en vacances à quelques semaines d'intervalle, nul doute que l'Office du tourisme suisse le saurait et ne s'alarmerait pas d'une baisse des nuitées, il est vrai partiellement liée à la force du franc inexistante en 2013.</w:t>
      </w:r>
    </w:p>
    <w:p>
      <w:r>
        <w:t>Et s'il fallait l'admettre, il faudrait alors que l'appelant ait été disposé à s'appuyer sur une partie de son salaire, ce qui ne semble pas ressortir des maigres valeurs qu'il possédait à son arrestation. Lui-même a avoué que la famille ne disposait d'aucune réserve en fin de mois ce qu'a confirmé son père. Pour une famille aux revenus modestes, la possession de six téléphones portables ne manque pas de surprendre sauf à penser qu'il permet des usages différenciés en fonction du but poursuivi, ce qui est plutôt la marque de trafiquants de drogue. Il est tout aussi surprenant que l'appelante ait pu disposer pour ce voyage de l'équivalent d'EUR 700.- dont l'origine douteuse permet de penser qu'il a pu être fourni par le commanditaire pour les frais du voyage.</w:t>
      </w:r>
    </w:p>
    <w:p>
      <w:r>
        <w:t>Un autre élément troublant tient à la destination finale, toujours la même. On pourrait le comprendre si les appelants avaient justifié d'un intérêt particulier pour Lucerne et ses environs, ce qu'ils n'ont pas fait, se contentant de banalités en termes de lieux visités. L'absence de visite au Musée des transports est à cet égard évocateur d'autres intérêts que le tourisme pour l'appelant qui dit suivre une formation dans le domaine de l'aéronautique. Sachant que leur père et mari avaient déjà effectué plusieurs déplacements au même endroit, qui plus est dans un laps de temps limité, et qu'il avait déjà été condamné pour trafic de stupéfiants, il n'est pas crédible que les appelants n'aient pas connu le motif réel de ce voyage et qu'ils n'y aient pas adhéré,</w:t>
      </w:r>
    </w:p>
    <w:p>
      <w:r>
        <w:t>- 14/21 - P/19344/2013 nonobstant les dénégations du chef de famille dont la volonté de les protéger peut se comprendre.</w:t>
      </w:r>
    </w:p>
    <w:p>
      <w:r>
        <w:t>Il est difficilement concevable que l'appelant ait aperçu la boîte à outils plusieurs semaines auparavant si son père n'en a pris possession que l'avant-veille de leur déplacement.</w:t>
      </w:r>
    </w:p>
    <w:p>
      <w:r>
        <w:t>La nationalité espagnole, qui devait faciliter le passage en douane, est un indice supplémentaire de la connaissance par les appelants du transport illicite dans la mesure où, que ce soit pour ce déplacement ou les autres, les appelants savaient que leur présence pouvait être de nature à ne pas éveiller la curiosité des douaniers. Or, ils n'avaient rien à craindre des passages en douane s'ils avaient été, comme ils le soutiennent, des Espagnols en vacances. E______ a d'ailleurs admis à demi-mots que leur présence lui permettait de ne pas attirer l'attention des gardes-frontière. Enfin, l'appelante a difficilement pu ne pas voir la réalité en face, pour autant qu'elle ait encore eu des doutes, quand son mari profitait des voyages pour rencontrer des tiers qu'il n'avait aucun motif avoué de fréquenter.</w:t>
      </w:r>
    </w:p>
    <w:p>
      <w:r>
        <w:t>Au vu de l'ensemble des développements qui précèdent, il ne fait aucun doute que les appelants étaient au courant du transport de cocaïne du 16 août 2013. Leur implication était supérieure à celle que leur aurait conféré un rôle subalterne de complices. Non contents de fournir une facilitation de passage aux frontières, les appelants ont manipulé, d'une manière ou d'une autre, la cocaïne cachée dans la boîte à outils. Ils savaient que ce déplacement était susceptible d'apporter une amélioration substantielle de leurs conditions de vie. Ils ont adhéré à ce projet en accompagnant leur mari et père dans un déplacement dont ils connaissaient la finalité. Un rôle limité à une complicité, d'ailleurs difficile à cerner pour un trafic de stupéfiants, ne correspond pas à la place prise par les appelants dans l'importation de la cocaïne en Suisse.</w:t>
      </w:r>
    </w:p>
    <w:p>
      <w:r>
        <w:t>Dans ces circonstances, il y a lieu de confirmer le verdict rendu par le premier juge. Les appelants seront ainsi déboutés de leurs appels en tant qu'ils ont conclu à leur acquittement et à l'annulation des mesures y afférentes.</w:t>
      </w:r>
    </w:p>
    <w:p>
      <w:r>
        <w:rPr>
          <w:b/>
        </w:rPr>
        <w:t>E. 2.4</w:t>
      </w:r>
    </w:p>
    <w:p>
      <w:r>
        <w:t>Le sursis est acquis aux appelants en application de l'interdiction de la reformation in peius, le Ministère public n'ayant pas appelé du jugement aux termes duquel le premier juge a estimé qu'un pronostic favorable pouvait être posé.</w:t>
      </w:r>
    </w:p>
    <w:p>
      <w:r>
        <w:rPr>
          <w:b/>
        </w:rPr>
        <w:t>E. 3</w:t>
      </w:r>
    </w:p>
    <w:p>
      <w:r>
        <w:t>Le verdict de culpabilité pour les appelants conduit à rejeter les demandes d'indemnisation qu'ils ont présentées en application de l'art. 429 al. 1 let. c CPP.</w:t>
      </w:r>
    </w:p>
    <w:p>
      <w:r>
        <w:rPr>
          <w:b/>
        </w:rPr>
        <w:t>E. 4.1</w:t>
      </w:r>
    </w:p>
    <w:p>
      <w:r>
        <w:t>Selon l'art. 47 du code pénal, du 21 décembre 1937 (CP ; RS 311.0), le juge fixe la peine d'après la culpabilité de l'auteur. Il prend en considération les antécédents et</w:t>
      </w:r>
    </w:p>
    <w:p>
      <w:r>
        <w:t>- 15/21 - P/19344/2013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w:t>
      </w:r>
    </w:p>
    <w:p>
      <w:r>
        <w:rPr>
          <w:b/>
        </w:rPr>
        <w:t>E. 4.2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w:t>
      </w:r>
    </w:p>
    <w:p>
      <w:r>
        <w:t>- 16/21 - P/19344/2013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4.3</w:t>
      </w:r>
    </w:p>
    <w:p>
      <w:r>
        <w:t>Dans l'exercice de son pouvoir d'appréciation, le juge doit respecter, en particulier, le principe d'égalité de traitement (art. 8 al. 1 Cst.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w:t>
      </w:r>
    </w:p>
    <w:p>
      <w:r>
        <w:t>- 17/21 - P/19344/2013 deux co-accusés à des peines identiques, il doit s'assurer que cette égalité soit justifiée par une équivalence globale des éléments pertinents pour la fixation de la peine (arrêt du Tribunal fédéral 6B_569/2008 du 24 mars 2009 consid. 1.2).</w:t>
      </w:r>
    </w:p>
    <w:p>
      <w:r>
        <w:t>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4.4</w:t>
      </w:r>
    </w:p>
    <w:p>
      <w:r>
        <w:t>La faute des deux appelants est relativement équivalente, même si dans son rôle de mère l'appelante a une responsabilité supérieure. Ils ont accepté d'aider qui son mari, qui son père, dans un trafic de cocaïne portant sur une quantité suffisamment importante pour que le cas grave soit retenu, nonobstant une quantité moindre que dans d'autres cas de transports de drogue. Le seul élément relativement positif tient au fait qu'ils se sont limités au rôle de transporteur à teneur du dossier. Mais leur faute reste importante car, au-delà d'une situation financière guère florissante, les appelants bénéficiaient d'un emploi. Ils disposaient ainsi des moyens propres à dissuader E______ de récidiver dans une entreprise criminelle dont ils ont représenté un maillon indispensable et nécessaire.</w:t>
      </w:r>
    </w:p>
    <w:p>
      <w:r>
        <w:t>Leur collaboration a été médiocre, chacun des appelants fournissant des explications aussi fantaisistes que mensongères au fil des éléments découlant de l'enquête ou des déclarations des autres protagonistes. Niant l'évidence jusqu'à l'audience d'appel, par l'intermédiaire de leurs conseils, ils n'ont fait preuve d'aucune prise de conscience, ne serait-ce qu'à l'état d'ébauche. Ils ont agi pour des motifs égoïstes, cherchant par leur acte à améliorer une situation financière qui n'avait rien de désespéré, toute modeste qu'elle fût.</w:t>
      </w:r>
    </w:p>
    <w:p>
      <w:r>
        <w:t>Chacun des appelants a un casier judiciaire vierge, ce qui constitue un facteur neutre dans la fixation de la peine dans la mesure où leur situation ne révèle pas un comportement relevant de l'exception (ATF 136 IV 1 consid. 2.6 p. 2).</w:t>
      </w:r>
    </w:p>
    <w:p>
      <w:r>
        <w:t>Comparée à la sanction frappant E______ en appel, leur peine est adaptée à leur rôle dans le trafic. Au-delà d'une coactivité établie, celui-là apparait en effet comme le trafiquant qui avait les contacts avec le commanditaire et, selon ce qui ressort des éléments liés aux voyages précédents, avec le destinataire de la drogue. Il est donc adéquat que la peine des appelants soit plus basse, étant précisé qu'elle peut difficilement être inférieure au regard de la peine plancher du cas grave de l'art. 19 al. 2 LStup et de l'absence de toute circonstance atténuante, d'ailleurs non plaidée. Une</w:t>
      </w:r>
    </w:p>
    <w:p>
      <w:r>
        <w:t>- 18/21 - P/19344/2013 peine très légèrement supérieure à la peine plancher peut être fixée dans le cas d'espèce, dans la mesure où elle prend valablement en compte les éléments à charge (importance de la faute des appelants, collaboration médiocre et défaut de prise de conscience).</w:t>
      </w:r>
    </w:p>
    <w:p>
      <w:r>
        <w:t>Aussi la peine fixée par le premier juge sera-t-elle confirmée et les appels rejetés.</w:t>
      </w:r>
    </w:p>
    <w:p>
      <w:r>
        <w:rPr>
          <w:b/>
        </w:rPr>
        <w:t>E. 5</w:t>
      </w:r>
    </w:p>
    <w:p>
      <w:r>
        <w:t>Les appelants, qui succombent entièrement, supporteront les frais de la procédure envers l'État (art. 428 CPP), à raison de la moitié chacun, lesdits frais comprenant le versement d'une indemnité de CHF 3'000.- (art. 14 al. 1 let. e du Règlement fixant le tarif des frais en matière pénale du 22 décembre 2010 [RTFMP ; RS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6.3.1 En l'occurrence, considéré dans sa globalité, l'état de frais produit par Me B______ paraît adéquat et conforme aux principes qui président à la rémunération du défenseur d'office soumis à l'assistance juridique, de sorte qu'il n'est pas nécessaire de reprendre le détail des postes qui le composent. Aussi l'indemnité requise, aux tarifs respectifs de CHF 65.- et de CHF 125.-, sera-t-elle allouée à hauteur de CHF 690.40 (CHF 346.65 et CHF 343.75), à laquelle il faut ajouter l'heure d'audience (CHF 65.-) et la majoration forfaitaire de 20% [CHF 151.10], ce qui correspond à une indemnité finale de CHF 906.50, sans TVA vu le statut de collaborateur de l'avocat.</w:t>
      </w:r>
    </w:p>
    <w:p>
      <w:r>
        <w:t>- 19/21 - P/19344/2013</w:t>
      </w:r>
    </w:p>
    <w:p>
      <w:r>
        <w:t>6.3.2 Il en est de même de l'état de frais présenté par Me D______ qu'il convient de fixer à CHF 1'036.80, ce qui correspond à CHF 800.- pour l'activité déployée en appel, CHF 160.- de majoration forfaitaire et CHF 76.80 au titre de la TVA. * * * * *</w:t>
      </w:r>
    </w:p>
    <w:p>
      <w:r>
        <w:t>- 20/21 - P/19344/2013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