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AARP/539/2013 vom 2. Mai 2013</w:t>
      </w:r>
    </w:p>
    <w:p>
      <w:r>
        <w:t>GE Cour de justice, 2013-05-02, FR</w:t>
      </w:r>
    </w:p>
    <w:p>
      <w:r>
        <w:rPr>
          <w:b/>
        </w:rPr>
        <w:t xml:space="preserve">Quelle: </w:t>
      </w:r>
      <w:r>
        <w:t>https://mcp.opencaselaw.ch/entscheid/ge_gerichte_AARP_539_2013</w:t>
      </w:r>
    </w:p>
    <w:p>
      <w:r>
        <w:t>FR: GE_GERICHTE AARP/539/2013 du 2 mai 2013</w:t>
      </w:r>
    </w:p>
    <w:p>
      <w:r>
        <w:t>IT: GE_GERICHTE AARP/539/2013 del 2 maggio 2013</w:t>
      </w:r>
    </w:p>
    <w:p>
      <w:pPr>
        <w:pStyle w:val="Heading2"/>
      </w:pPr>
      <w:r>
        <w:t>Erwägungen</w:t>
      </w:r>
    </w:p>
    <w:p>
      <w:r>
        <w:rPr>
          <w:b/>
        </w:rPr>
        <w:t>E. 1.1</w:t>
      </w:r>
    </w:p>
    <w:p>
      <w:r>
        <w:t>L'appel est recevable pour avoir été interjeté et motivé selon la forme et dans les délais prescrits (art. 398 et 399 CPP).</w:t>
      </w:r>
    </w:p>
    <w:p>
      <w:r>
        <w:t>- 5/14 - P/13360/2012</w:t>
      </w:r>
    </w:p>
    <w:p>
      <w:r>
        <w:rPr>
          <w:b/>
        </w:rPr>
        <w:t>E. 1.2</w:t>
      </w:r>
    </w:p>
    <w:p>
      <w:r>
        <w:t>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w:t>
      </w:r>
    </w:p>
    <w:p>
      <w:r>
        <w:t>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w:t>
      </w:r>
    </w:p>
    <w:p>
      <w:r>
        <w:t>- 6/14 - P/13360/2012 qu'elle fait appel à l'obligeance des passants, pour autant que cela soit fait de manière passive, soit de manière discrète et non agressive.</w:t>
      </w:r>
    </w:p>
    <w:p>
      <w:r>
        <w:rPr>
          <w:b/>
        </w:rPr>
        <w:t>E. 2.3</w:t>
      </w:r>
    </w:p>
    <w:p>
      <w:r>
        <w:t>La juridiction d'appel n’est pas liée par la décision autrichienne citée par l’appelant. Au demeurant, la mendicité suppose en principe un comportement actif consistant à réclamer de l’argent à des gens de passage, en l'occurrence à des automobilistes auxquels l'appelant proposait ses services. La proposition de gagner de l'argent en échange du lavage des vitres d'un véhicule automobile représente l'exemple même d'un comportement actif dans le domaine de la mendicité. En tout état de cause, le Tribunal fédéral a retenu que l’art. 11A LPG constituait une base légale suffisante pour interdire toute mendicité (ATF 134 I 214, consid. 5.5). Cette interdiction n’empêche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2.3.1</w:t>
      </w:r>
    </w:p>
    <w:p>
      <w:r>
        <w:t>et les références). Ce grief est aussi rejeté.</w:t>
      </w:r>
    </w:p>
    <w:p>
      <w:r>
        <w:rPr>
          <w:b/>
        </w:rPr>
        <w:t>E. 3</w:t>
      </w:r>
    </w:p>
    <w:p>
      <w:r>
        <w:t>Dans un deuxième moyen, l’appelant se plaint d'être victime d'un traitement discriminatoire en raison de sa situation sociale et de son origine.</w:t>
      </w:r>
    </w:p>
    <w:p>
      <w:r>
        <w:rPr>
          <w:b/>
        </w:rPr>
        <w:t>E. 3.1</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w:t>
      </w:r>
    </w:p>
    <w:p>
      <w:r>
        <w:t>- 7/14 - P/13360/2012 négatifs les plus flagrants d'une réglementation étatique (arrêt du Tribunal fédéral 6B_31/2012 du 17 août 2012, consid. 3.2). En matière de discrimination, même lorsque le fardeau de la preuve est allégé, il incombe à celui qui allègue une discrimination de la rendre tout au moins vraisemblable (ibid).</w:t>
      </w:r>
    </w:p>
    <w:p>
      <w:r>
        <w:t>3.2.1 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(arrêt du Tribunal fédéral 6B_31/2012 du 17 août 2012, consid. 3.4 respectivement 4.4). 3.2.2 L'appelant fait aussi valoir que la norme litigieuse consacre une discrimination sociale, dans la mesure où elle vise de manière prépondérante les pauvres et contribue à les stigmatiser. Il est douteux que le dénuement de l'appelant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RS J 4 04), permet de retenir que pour la très grande majorité des personnes qui s'y livrent, l'interdiction de la mendicité ne les priverait pas du minimum nécessaire, mais d'un revenu d'appoint, même si des exceptions restent toujours possibles (ATF 134 I 214). Ce grief doit ainsi aussi être rejeté.</w:t>
      </w:r>
    </w:p>
    <w:p>
      <w:r>
        <w:rPr>
          <w:b/>
        </w:rPr>
        <w:t>E. 4</w:t>
      </w:r>
    </w:p>
    <w:p>
      <w:r>
        <w:t>L'appelant invoque une restriction injustifiée à sa liberté personnelle et une atteinte à sa dignité humaine (art. 7, 10 et 36 al. 3 Cst. et 8 CEDH), son extrême pauvreté le contraignant à demander l'aumône. Dans l'arrêt 6B_31/2012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w:t>
      </w:r>
    </w:p>
    <w:p>
      <w:r>
        <w:t>- 8/14 - P/13360/2012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w:t>
      </w:r>
    </w:p>
    <w:p>
      <w:r>
        <w:rPr>
          <w:b/>
        </w:rPr>
        <w:t>E. 5.1</w:t>
      </w:r>
    </w:p>
    <w:p>
      <w:r>
        <w:t>L'appelant soutient encore que l'infraction de mendicité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"La personne qui, par cupidité ou fainéantise, mendie ou envoie mendier des enfants ou des personnes sur lesquels elle a autorité est punie de l'amende" (art. 13 de la loi fribourgeoise d'application du Code pénal du 6 octobre 2006 [LACP ; RS 31.1]). Il s'ensuivrait une discrimination de la norme genevoise appliquée aux seuls membres de la communauté rom.</w:t>
      </w:r>
    </w:p>
    <w:p>
      <w:r>
        <w:rPr>
          <w:b/>
        </w:rPr>
        <w:t>E. 5.2</w:t>
      </w:r>
    </w:p>
    <w:p>
      <w:r>
        <w:t>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 du Tribunal fédéral 6B_31/2012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w:t>
      </w:r>
    </w:p>
    <w:p>
      <w:r>
        <w:t>- 9/14 - P/13360/2012 En l'espèce, l'appelant, qui justifie ses actes par sa grande pauvreté, a quémandé de l'argent aux passants, en leur tendant un gobelet. Son comportement correspond ainsi au sens le plus clair et le plus littéral de la norme. Le grief est donc infondé.</w:t>
      </w:r>
    </w:p>
    <w:p>
      <w:r>
        <w:rPr>
          <w:b/>
        </w:rPr>
        <w:t>E. 6</w:t>
      </w:r>
    </w:p>
    <w:p>
      <w:r>
        <w:t>L'appelant conteste être l'auteur des infractions à deux lois fédérales (LCR et LCI) et à un règlement cantonal (RPSS). 6.1.1 Aux termes de l'art. 49 LCR, la place des piétons est sur le trottoir et non sur la chaussée dont l'usage est restrictif. L'art. 46 al. 2 de l'ordonnance sur les règles de la circulation routière, du 13 novembre 1962 (OCR ; RS 741.11), prévoit que "les piétons éviteront de s’attarder inutilement sur la chaussée, notamment aux endroits sans visibilité ou resserrés, aux intersections ainsi que de nuit et par mauvais temps". 6.1.2 Nombre de rapports de contravention mentionnent que l'appelant s'est attardé sur la chaussée quand les véhicules automobiles étaient à l'arrêt. En soi, une telle attitude est déjà constitutive d'une violation de la LCR, puisque la présence d'un piéton sur la chaussée est dangereuse pour lui-même et les autres usagers de la route, notamment des cyclistes qui ont le droit de devancer par la droite une file de voitures (art. 42 al. 3 OCR). Un tel comportement est a fortiori constitutif d'une violation de la LCR lorsque le piéton déambule ou se faufile entre des voitures lors de la phase de redémarrage des véhicules, comme cela a été constaté dans quelques cas. La violation à l'art. 90 ch. 1 LCR est ainsi avérée, de sorte que le jugement entrepris sera confirmé sur ce point. 6.2.1 Selon l'art. 2 al. 1 let. b LCI, doit être titulaire d’une autorisation délivrée par l’autorité cantonale compétente toute personne qui, à titre lucratif, offre aux consommateurs des services en tous genres, que ce soit par une activité itinérante ou par la sollicitation spontanée de particuliers à domicile. 6.2.2 Au regard de la définition fournie par la loi et la teneur du message du Conseil fédéral (FF 2000 p. 3850), il n'est pas douteux que les services offerts par l'appelant étaient soumis à autorisation. La définition est large et l'activité n'était pas exercée à titre bénévole, ainsi que le reconnait l'appelant qui n'a pas nié avoir ainsi essayé d'en soutirer quelque avantage financier. 6.2.2.1 L'appelant argue de la méconnaissance de l'illicéité de cette pratique. L'art. 21 du Code pénal suisse, du 21 décembre 1937 (CP ; RS 311.0)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w:t>
      </w:r>
    </w:p>
    <w:p>
      <w:r>
        <w:t>- 10/14 - P/13360/2012 126-127) ou lorsqu'il savait qu'une réglementation juridique existe, mais qu'il a négligé de s'informer suffisamment à ce sujet (ATF 120 IV 208 consid. 5b p. 215).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 6.2.2.2 L'appelant a été amendé à quarante reprises, de sorte qu'il est déjà douteux que la seule répétition de ces interpellations ne lui ait pas fait comprendre le caractère illicite de son comportement, nonobstant son analphabétisme allégué. L'appelant a pu notamment s'en convaincre quand le matériel lui a été saisi sur le champ ou lorsque le gendarme lui a formellement demandé de présenter une autorisation d'activité lucrative. A maintes reprises, l'appelant a été prié de quitter les lieux sur le champ, ce qui était un autre moyen de lui faire saisir l'illicéité de son comportement. Enfin, il n'était pas toujours seul et il serait surprenant que la ou les personnes qui l'accompagnai(en)t ne l'ai(en)t pas, d'une manière ou une autre, instruit du caractère illicite de son activité, ce qu'il pouvait comprendre nonobstant ses limites personnelles. L'infraction à l'art. 14 LCI doit ainsi être confirmée, le fait justificatif de l'art. 21 CP n'étant pas réalisé. 6.3.1 Selon l'art. 1 al. 1 RPSS, il est interdit de salir, maculer ou détériorer d’une manière quelconque la voie publique, les monuments, les clôtures et les murs des constructions publiques ou privées, les installations destinées à l’usage du public (…). A teneur de l'art. 42 RPSS, les contrevenants au règlement sont passibles de l'amende, sans préjudice de plus forte peine en cas de crimes ou de délits. 6.3.2 Le rapport de contravention mentionnant le jet d'une bouteille d'eau savonneuse ne dit rien du sort de la bouteille jetée à terre, notamment si elle s'est cassée et si le liquide qu'elle contenait s'est répandu ou non, encore moins si la chaussée est devenue glissante contrairement à l'affirmation du premier juge. Aucune mention n'est faite d'une dégradation effective de la chaussée au-delà de la présence d'une bouteille en plastique sur le sol. Au surplus, il est douteux que l'intention de l'appelant ait consisté à vouloir maculer le sol ou le salir, en tant qu'il ne cherchait vraisemblablement qu'à chercher à échapper aux forces de l'ordre en se débarrassant d'un objet compromettant. L'appelant sera en conséquence acquitté de cette infraction.</w:t>
      </w:r>
    </w:p>
    <w:p>
      <w:r>
        <w:rPr>
          <w:b/>
        </w:rPr>
        <w:t>E. 7.1</w:t>
      </w:r>
    </w:p>
    <w:p>
      <w:r>
        <w:t>Pour être licite, le séquestre prévu à l'art. 263 CPP doit respecter certaines règles de compétence et de formes prescrites à l'art. 263 al. 2 et 3 CPP. Ainsi, notamment, le prononcé du séquestre doit être ordonné par écrit et sommairement motivé, exception faite des cas d'urgence où la forme orale est admise, sous réserve d'une confirmation</w:t>
      </w:r>
    </w:p>
    <w:p>
      <w:r>
        <w:t>- 11/14 - P/13360/2012 écrite ultérieure (art. 263 al. 2 CPP). En application de l'art. 263 al. 3 CPP, les sommes détenues par une personne se livrant à la mendicité peuvent être séquestrées par la police en vue de confiscation ultérieure dans la mesure où il s'agit du produit de son activité illicite (OCPR/31/2011 du 30 septembre 2011 consid. 2.2 p. 6 ; AARP/137/2012 du 9 mai 2012 consid. 5 p. 12 ; AARP/129/2012 du 7 mai 2012). En présence d'un vice de forme, la nullité du séquestre n'est pas automatique : si un séquestre a été exécuté par la police sans être confirmé par le Ministère public, celui- ci n'est pas nul et les intéressés peuvent exiger du Ministère public qu'il rende une décision, sujette à recours (A. KUHN / Y. JEANNERET (éds), Commentaire romand : Code de procédure pénale suisse, Bâle 2011,n. 17/22/36/37 ad art. 263).</w:t>
      </w:r>
    </w:p>
    <w:p>
      <w:r>
        <w:rPr>
          <w:b/>
        </w:rPr>
        <w:t>E. 7.2</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w:t>
      </w:r>
    </w:p>
    <w:p>
      <w:r>
        <w:rPr>
          <w:b/>
        </w:rPr>
        <w:t>E. 7.3</w:t>
      </w:r>
    </w:p>
    <w:p>
      <w:r>
        <w:t>L'appelant aurait préalablement pu requérir du Ministère public qu'il rendît une décision de confiscation des fonds saisis. Il n'est pas habilité à se plaindre au stade de l'appel de l'inaction du Ministère public après avoir conservé le silence durant l'instruction de la cause. L'application conjointe des art. 70 CP et 263 CPP a pour effet de rendre la mesure de séquestre légitime, s'agissant d'une confiscation du produit d'infractions que les gendarmes sont habilités à saisir dans un tel cas (art. 263 al. 3 CPP).</w:t>
      </w:r>
    </w:p>
    <w:p>
      <w:r>
        <w:rPr>
          <w:b/>
        </w:rPr>
        <w:t>E. 8</w:t>
      </w:r>
    </w:p>
    <w:p>
      <w:r>
        <w:t>Le jugement entrepris a condamné l'appelant à une amende de CHF 500.– pour l'ensemble des infractions retenues, soit pour avoir mendié à quarante reprises en enfreignant les dispositions légales applicables de la LCI et de la LCR. Le premier juge a considérablement réduit le montant des amendes initialement infligées afin de tenir compte de la situation personnelle de l'appelant, les amendes cumulées passant de CHF 6'000.– à CHF 500.–, soit dans un rapport de 1 : 12. L'acquittement du chef d'infraction au RPSS, de moindre gravité objective, ne saurait ainsi exercer quelque influence sur le montant final de l'amende, laquelle sera maintenue à CHF 500.–. Il en ira de même de la peine privative de liberté de substitution qui est proportionnée à la faute commise à réitérées reprises.</w:t>
      </w:r>
    </w:p>
    <w:p>
      <w:r>
        <w:rPr>
          <w:b/>
        </w:rPr>
        <w:t>E. 9</w:t>
      </w:r>
    </w:p>
    <w:p>
      <w:r>
        <w:t>Mal fondé pour l'essentiel, l'appel sera rejeté. L'appelant, qui succombe, supportera l'entier des frais de la procédure envers l'État, l'acquittement prononcé devant être</w:t>
      </w:r>
    </w:p>
    <w:p>
      <w:r>
        <w:t>- 12/14 - P/13360/2012 tenu pour très marginal au regard de l'ensemble de la culpabilité retenue (art. 428 CPP et art. 14 al. 1 let. e du Règlement fixant le tarif des frais en matière pénale [RS/GE ; E 4 10.03]). * * * * *</w:t>
      </w:r>
    </w:p>
    <w:p>
      <w:r>
        <w:t>- 13/14 - P/13360/2012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