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AARP/538/2015 vom 18. Dezember 2015</w:t>
      </w:r>
    </w:p>
    <w:p>
      <w:r>
        <w:t>GE Cour de justice, 2015-12-18, FR</w:t>
      </w:r>
    </w:p>
    <w:p>
      <w:r>
        <w:rPr>
          <w:b/>
        </w:rPr>
        <w:t xml:space="preserve">Quelle: </w:t>
      </w:r>
      <w:r>
        <w:t>https://mcp.opencaselaw.ch/entscheid/ge_gerichte_AARP_538_2015</w:t>
      </w:r>
    </w:p>
    <w:p>
      <w:r>
        <w:t>FR: GE_GERICHTE AARP/538/2015 du 18 décembre 2015</w:t>
      </w:r>
    </w:p>
    <w:p>
      <w:r>
        <w:t>IT: GE_GERICHTE AARP/538/2015 del 18 dicembre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L'appelant ne conteste plus sa culpabilité pour l'ensemble des faits qui lui sont reprochés dans l'acte d'accusation, ni sa condamnation pour infraction grave à la LStup. La culpabilité de l'appelant telle que retenue par les premiers juges sera ainsi confirmée, les conditions posées par l'art. 19 al. 2 let. a LStup étant réalisées eu égard à la jurisprudence et à la doctrine applicables à l'aggravante de la quantité de cocaïne (ATF 109 IV 143 consid. 3b p. 145 ; arrêt du Tribunal fédéral 6B_632/2008 du 10 mars 2009 consid. 2 ; B. CORBOZ, Les infractions en droit suisse, 3e édition, Berne 2010, vol. II, n. 81 p. 917).</w:t>
      </w:r>
    </w:p>
    <w:p>
      <w:r>
        <w:rPr>
          <w:b/>
        </w:rPr>
        <w:t>E. 2.2</w:t>
      </w:r>
    </w:p>
    <w:p>
      <w:r>
        <w:t>L'appelant reproche aux premiers juges de ne pas avoir fait application de l'atténuante visée à l'art. 19 al. 3 let. b LStup qu'il avait pourtant plaidée.</w:t>
      </w:r>
    </w:p>
    <w:p>
      <w:r>
        <w:t>- 10/20 - P/10890/2013</w:t>
      </w:r>
    </w:p>
    <w:p>
      <w:r>
        <w:rPr>
          <w:b/>
        </w:rPr>
        <w:t>E. 2.2.1</w:t>
      </w:r>
    </w:p>
    <w:p>
      <w:r>
        <w:t>Aux termes de l'art. 19 al. 3 let. b LStup, dans sa version en vigueur depuis le 1er juillet 2011, le tribunal peut atténuer librement la peine dans le cas d'une infraction visée à l'art. 19 al. 2 LStup, si l'auteur est dépendant et que cette infraction aurait dû servir au financement de sa propre consommation.</w:t>
      </w:r>
    </w:p>
    <w:p>
      <w:r>
        <w:t>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projet LStup ; arrêt du Tribunal fédéral 6B_858/2014 du 19 mai 2015 consid. 2.2). La Commission précitée renvoie, pour distinguer consommateurs et personnes dépendantes, aux critères développés dans la classification statistique internationale des maladies et des problèmes de santé connexes établie par l'OMS (CIM-10). Selon le chapitre F 14 du CIM-10, qui traite des "troubles mentaux et du comportement liés à l'utilisation de la cocaïne", le symptôme de dépendance est décrit comme un ensemble de phénomènes comportementaux, cognitifs et physiologiques survenant à la suite d'une consommation répétée d'une substance psycho-active, typiquement associés à un désir puissant de prendre de la drogue, à une difficulté de contrôler la consommation, à une poursuite de la consommation malgré des conséquences nocives, à un désinvestissement progressif des autres activités et obligations au profit de la consommation de cette drogue, à une tolérance accrue, et, parfois, à un syndrome de sevrage physique toxicomanie (arrêt ibidem). L'art. 19 al. 3 let. b LStup n'est en outre applicable que si le trafic de drogue de l'auteur finance exclusivement sa propre toxicomanie (FF 2006 et arrêt ibidem).</w:t>
      </w:r>
    </w:p>
    <w:p>
      <w:r>
        <w:rPr>
          <w:b/>
        </w:rPr>
        <w:t>E. 2.2.2</w:t>
      </w:r>
    </w:p>
    <w:p>
      <w:r>
        <w:t>L'appelant ne remplit manifestement pas les critères stricts posés par la jurisprudence pour pouvoir bénéficier de cette atténuante. Il a lui-même admis qu'il était devenu abstinent le jour de son arrestation, ce qui conduit à penser qu'aucun sevrage physique ne lui a été imposé par le service médical de Champ-Dollon. Son parcours de vie avant son interpellation va dans le même sens, puisqu'il faisait face à ses obligations sociales et financières de la vie courante, notamment en s'acquittant des charges telle celle du loyer. Sa mère a certes témoigné de ses relations difficiles durant cette période, sans qu'elle n'ait prétendu que son fils fût en perdition ou à la rue. L'appelant ne peut ainsi être considéré comme toxico-dépendant au sens des exigences posées par la jurisprudence, aucune expertise n'ayant d'ailleurs été sollicitée en ce sens. L'autre motif conduisant au rejet de l'atténuante de l'art. 19 al. 3 let. b LStup tient au fait que le trafic dont l'appelant a été l'auteur n'était pas exclusivement destiné à sa propre consommation, ce qu'il a d'ailleurs reconnu en expliquant avoir dû assurer le financement de son trafic par des ventes à des tiers. L'appelant a reconnu de manière</w:t>
      </w:r>
    </w:p>
    <w:p>
      <w:r>
        <w:t>- 11/20 - P/10890/2013 générale avoir acquis et/ou détenu de la cocaïne destinée à la vente (ch. B. I.1.4 et B. I.5.1). Dans trois transactions, l'appelant a spécifié les quantités revenudes, soit 75 grammes à divers consommateurs non identifiés (ch. B. I.2.1), 100 et respectivement 220 grammes à un client non identifié (ch. B. I.2.2 et B I.2.3). Il s'ensuit que l'appelant sera débouté de son appel sur ce point.</w:t>
      </w:r>
    </w:p>
    <w:p>
      <w:r>
        <w:rPr>
          <w:b/>
        </w:rPr>
        <w:t>E. 3.1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w:t>
      </w:r>
    </w:p>
    <w:p>
      <w:r>
        <w:t>- 12/20 - P/10890/2013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Dans l'exercice de son pouvoir d'appréciation, le juge doit respecter, en particulier, le principe d'égalité de traitement (art. 8 al. 1 de la Constitution fédérale de la Confédération, suisse du 18 avril 1999 (Cst. - RS 101) ; cf. au regard de l'art. 63 aCP, ATF 120 IV 136 consid. 3a p. 144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w:t>
      </w:r>
    </w:p>
    <w:p>
      <w:r>
        <w:t>- 13/20 - P/10890/2013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 p. 194).</w:t>
      </w:r>
    </w:p>
    <w:p>
      <w:r>
        <w:rPr>
          <w:b/>
        </w:rPr>
        <w:t>E. 3.4</w:t>
      </w:r>
    </w:p>
    <w:p>
      <w:r>
        <w:t>Selon l'art. 48 let. d CP, le juge atténue la peine si l'auteur a manifesté par des actes un repentir sincère, notamment s'il a réparé le dommage autant qu'on pouvait l'attendre de lui. Cette circonstance atténuante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 3.5.1 Sur le plan objectif, seules les peines de six mois à deux ans peuvent être assorties du sursis total (cf. art. 42 al. 1 CP). Le cadre élargi défini par le nouveau droit pour la fixation de la peine ne justifie plus une relativisation de la limite légale permettant l'octroi du sursis ou du sursis partiel (ATF 134 IV 17,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 détention (art. 77b CP : 1 an), le juge doit se demander si une peine inférieure à cette limite apparaît encore soutenable et, dans cette hypothèse, la prononcer. Dans le cas inverse, il est libre de prononcer une peine, pour peu qu'elle soit adéquate et</w:t>
      </w:r>
    </w:p>
    <w:p>
      <w:r>
        <w:t>- 14/20 - P/10890/2013 justifiable, même si elle n'excède que de peu la limite en cause (ATF 134 IV 17 consid. 3.5 p. 24-25). Dans tous les cas, le juge doit motiver sa décision, sous peine de violer son obligation de motivation prévue à l'art. 50 CP (ATF 134 IV 17 consid.</w:t>
      </w:r>
    </w:p>
    <w:p>
      <w:r>
        <w:rPr>
          <w:b/>
        </w:rPr>
        <w:t>E. 3.6</w:t>
      </w:r>
    </w:p>
    <w:p>
      <w:r>
        <w:t>La faute de l'appelant est lourde, dans le sens où rien ne le prédestinait à commettre des actes illicites. Il avait assurément d'autres choix, même si on peut</w:t>
      </w:r>
    </w:p>
    <w:p>
      <w:r>
        <w:t>- 15/20 - P/10890/2013 comprendre sa déception à l'idée de ne pas pouvoir réaliser son rêve de jeunesse. Il a agi durant une période relativement courte pour les faits les plus graves. Son implication dans le trafic de cannabis s'est en revanche étendue sur plusieurs années, avec un pic concomitant à son implication dans le trafic de cocaïne. La brève période pénale du trafic de cocaïne tranche avec une forte intensité délictueuse, l'appelant n'ayant pas hésité à multiplier les transactions dans un laps de temps inférieur à trois mois. Les quantités de cocaïne sur lesquelles a porté le trafic sont conséquentes et l'action de l'appelant déterminée. Plusieurs éléments positifs viennent contrebalancer les signaux négatifs que révèle l'importance de la faute commise. La trajectoire de l'appelant n'est pas celle d'un trafiquant dont la seule activité se résume à ses actes illicites. Certes, l'appât du gain a été l'un des moteurs de ses actes, sans qu'il ne soit exclusif, l'appelant devant chercher des sources de financement de sa consommation de plus en plus soutenue de cocaïne. Celle-là est d'ailleurs un facteur atténuant de la peine, même si l'appelant n'était pas toxico-dépendant au sens des exigences du législateur. Depuis le début de l'année en cours, l'appelant apporte la preuve de sa capacité à assumer des responsabilités professionnelles et de son sérieux dans ses choix de vie. Il fait face au défi que représente la réinsertion après une période de détention, à la fois sur les plans personnel et professionnel. Sa prise de conscience est forte, au point que la juridiction d'appel ne doute guère des constats que porte sa mère sur sa personne. Cette prise de conscience se conjugue avec une collaboration avec les autorités policières. Dès ses premiers interrogatoires, l'appelant ne s'est pas contenté de reconnaître le flagrant délit mais a mentionné l'existence de transactions antérieures, n'hésitant pas à fournir des éléments propres à faire avancer l'enquête. Par ses mises en cause, l'appelant a provoqué l'interpellation de l'intimé C______ qui a, peu ou prou, admis l'exactitude de l'implication des participants au trafic de la manière décrite. Avec son soutien, l'appelant a résisté aux dénégations et aux pressions émanant du fournisseur qui a nié jusque devant les premiers juges sa propre implication. L'excellente collaboration de l'appelant ne conduit toutefois pas la CPAR à lui accorder le bénéfice du repentir sincère. Il y a tout d'abord lieu de relativiser la portée de ses aveux, dans la mesure où l'appelant savait que les recherches sur la téléphonie permettraient tôt ou tard de révéler la nature de ses liens antérieurs avec ses deux comparses. Au demeurant, l'appelant n'est pas allé jusqu'au bout de sa démarche, restant vague et discret sur la personne de son commanditaire. Il a refusé de le désigner autrement que par le nom d'une "connaissance", ce qui n'a pas permis à la police de remonter à la source du trafic. Les efforts auxquels il a consenti, même s'ils ne peuvent être tenus pour particulièrement méritoires au sens des exigences de la jurisprudence, seront toutefois pris en compte dans le cadre de la fixation de la peine.</w:t>
      </w:r>
    </w:p>
    <w:p>
      <w:r>
        <w:t>- 16/20 - P/10890/2013 Le code pénal impose aux autorités de jugement de tenir compte de l'effet de la peine sur l'avenir du délinquant. Or, un retour en prison ferait à coup sûr perdre son emploi à l'appelant, ce qui serait paradoxalement aussi un coup dur pour son employeur qui compte sur lui. Une telle décision serait fatale en termes d'emploi même dans l'hypothèse improbable d'une peine purgée en semi-détention, le retour dans un lieu de détention pour la nuit n'étant pas compatible avec les exigences horaires d'un établissement public. Dans les critères de fixation de la peine interviennent la prise de conscience de l'appelant, sa collaboration et le respect de l'égalité de traitement. A cet égard, force est de constater que la peine infligée à l'intimé E______, inférieure à celle de l'appelant, est incompréhensible, même en tenant compte de sa spécificité (peine complémentaire). L'implication de l'intimé dans le trafic de cocaïne est au mieux équivalente à celle de l'appelant, son rôle de vendeur n'étant en tout cas pas moindre que celui d'acheteur. Sa collaboration à l'instruction a été exécrable et ses antécédents judiciaires sont plus fournis que ceux de l'appelant, certes pour des délits non spécifiques – mais c'est aussi le cas de l'appelant –, et avec des peines beaucoup plus lourdes que des peines pécuniaires. L'implication supplémentaire de l'appelant dans un trafic de marijuana, même étendu sur plusieurs années, ne saurait être déterminante pour justifier une telle différence de traitement. La fixation de la sanction à 24 mois de peine privative de liberté respecte la jurisprudence du Tribunal fédéral, une telle peine étant soutenable au regard de l'ensemble des éléments à prendre en compte, tels qu'ils ressortent des développements susmentionnés.</w:t>
      </w:r>
    </w:p>
    <w:p>
      <w:r>
        <w:rPr>
          <w:b/>
        </w:rPr>
        <w:t>E. 3.7</w:t>
      </w:r>
    </w:p>
    <w:p>
      <w:r>
        <w:t>Le sursis est acquis à l'appelant, le Ministère public n'ayant pas appelé du jugement. Il importe peu à cet égard qu'il ait acquiescé à un sursis partiel plutôt que complet, les conditions posées par la loi pour l'octroi du sursis n'étant pas différentes. Un sursis complet s'impose dans le cas d'espèce, aucun motif ne commandant que l'appelant ne purge encore une partie de sa peine à des fins de prévention spéciale. Il a su redonner du sens à sa réorientation professionnelle après sa libération provisoire. Rien ne permet de conclure, plus de deux ans après, que sa situation impose un retour en prison, même pour une courte période, qui serait hautement invalidante pour son statut professionnel. Pour prévenir toute velléité de rechute et en lien avec les antécédents de l'appelant, même non spécifiques, un délai d'épreuve plus long que le minimum posé par l'art. 44 CP lui sera imposé. Le jugement entrepris sera ainsi réformé, en tant que l'appelant sera condamné à une peine privative de liberté de deux ans, le délai d'épreuve étant fixé à 3 ans.</w:t>
      </w:r>
    </w:p>
    <w:p>
      <w:r>
        <w:t>- 17/20 - P/10890/2013</w:t>
      </w:r>
    </w:p>
    <w:p>
      <w:r>
        <w:rPr>
          <w:b/>
        </w:rPr>
        <w:t>E. 4.1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w:t>
      </w:r>
    </w:p>
    <w:p>
      <w:r>
        <w:t>Selon l'art. 436 al. 2 CPP, le prévenu a droit à une juste indemnité pour ses dépenses si ni un acquittement total ou partiel, ni un classement de la procédure ne sont prononcés mais qu'il obtient gain de cause sur d'autres points.</w:t>
      </w:r>
    </w:p>
    <w:p>
      <w:r>
        <w:t>L'indemnisation pour frais de défense, au sens des art. 429 al. 1 let. a et 436 al. 2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Bâle 2011, n. 12 ad art. 429 ; ACPR/41/2012 du 30 janvier 2012).</w:t>
      </w:r>
    </w:p>
    <w:p>
      <w:r>
        <w:rPr>
          <w:b/>
        </w:rPr>
        <w:t>E. 4.2</w:t>
      </w:r>
    </w:p>
    <w:p>
      <w:r>
        <w:t>L'appelant ne bénéficie pas d'un acquittement, même partiel, mais il obtient gain de cause sur le plan de la peine. Il se justifie ainsi de prendre partiellement en charge la note des frais et honoraires présentée par Me B______. Une quote-part fixée approximativement aux deux tiers paraît équitable, ce qui conduit la CPAR à fixer l'indemnité due à l'appelant pour ses frais de défense à CHF 7'000.-.</w:t>
      </w:r>
    </w:p>
    <w:p>
      <w:r>
        <w:rPr>
          <w:b/>
        </w:rPr>
        <w:t>E. 5</w:t>
      </w:r>
    </w:p>
    <w:p>
      <w:r>
        <w:t>L'appelant, qui succombe partiellement, supportera la moitié des frais de la procédure envers l'État (art. 428 CPP et 14 al. 1 let. e du Règlement fixant le tarif des frais en matière pénale du 22 décembre 2010 [RTFMP ; RS E 4 10.03]). * * * * *</w:t>
      </w:r>
    </w:p>
    <w:p>
      <w:r>
        <w:t>- 18/20 - P/10890/2013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