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AARP/537/2015 vom 17. Dezember 2015</w:t>
      </w:r>
    </w:p>
    <w:p>
      <w:r>
        <w:t>GE Cour de justice, 2015-12-17, FR</w:t>
      </w:r>
    </w:p>
    <w:p>
      <w:r>
        <w:rPr>
          <w:b/>
        </w:rPr>
        <w:t xml:space="preserve">Quelle: </w:t>
      </w:r>
      <w:r>
        <w:t>https://mcp.opencaselaw.ch/entscheid/ge_gerichte_AARP_537_2015</w:t>
      </w:r>
    </w:p>
    <w:p>
      <w:r>
        <w:t>FR: GE_GERICHTE AARP/537/2015 du 17 décembre 2015</w:t>
      </w:r>
    </w:p>
    <w:p>
      <w:r>
        <w:t>IT: GE_GERICHTE AARP/537/2015 del 17 dicembre 2015</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- 16/24 - P/15916/2012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2.1.3. Dans le cadre du principe de libre appréciation des preuves, qui gouverne notamment l'appréciation des déclarations de la victime (arrêts du Tribunal fédéral 6B_716/2010 du 15 novembre 2010 consid. 1.3 et 6B_360/2008 du 12 novembre 2008 consid. 4.3), rien ne s'oppose à ne retenir qu'une partie des déclarations d'un témoin globalement crédible (ATF 120 Ia 31 consid. 3, spéc. p. 39 ; arrêt du Tribunal fédéral 6B_637/2012 du 21 janvier 2013 consid. 5.4).</w:t>
      </w:r>
    </w:p>
    <w:p>
      <w:r>
        <w:t>2.2.1. Dans le cas présent, il est vrai que le récit de la victime a été constant, qu'il présente une cohérence intrinsèque et est riche de détails contextuels et périphériques, ces critères plaidant en faveur de la crédibilité.</w:t>
      </w:r>
    </w:p>
    <w:p>
      <w:r>
        <w:t>Toutefois, il y a de nombreux autres éléments défavorables, au plan de l'appréciation globale : Contrairement à ce que soutiennent le MP et la partie plaignante, les circonstances du dévoilement ne sont pas idéales, celui-ci ayant été provoqué par des propos tenus par la mère qui la première a abordé le sujet, ouvrant ainsi la porte à une déclaration de la jeune fille. Ces circonstances sont d'autant plus suspectes que les récits divergent sur ce qui a amené la mère à évoquer l'hypothèse d'attouchements, fût-ce pour l'écarter (cf. infra. consid. 2.2.3). Si le récit de A______ à la police présente les qualités sus-évoquées, il faut aussi relever que la jeune fille a eu beaucoup de peine à décrire les agissements</w:t>
      </w:r>
    </w:p>
    <w:p>
      <w:r>
        <w:t>- 17/24 - P/15916/2012 pénalement relevants, au point que l'inspectrice qui procédait à l'audition a dû poser plusieurs questions, ce qui contraste avec le reste du discours, plus fluide et spontané. D'ailleurs, même avec l'aide de questions, l'appelante n'a guère fourni de détails. À ceci s'ajoute l'usage d'expressions quelque peu stéréotypées qui pourraient donner à penser à un discours préparé, étant plus fréquentes dans la bouche d'intervenants expérimentés appelés à commenter le vécus de jeunes victimes que dans celle desdites jeunes victimes elles-mêmes (son beau-père lui disait qu'il avait tous les droits sur elle, elle avait l'impression d'être salie, que c'était de sa faute et se demandait pourquoi cela lui arrivait à elle, on aurait dit qu'elle était son jouet). Surtout, à l'instar du premier juge, la Cour peine à concevoir que l'appelante ait, entre l'âge de 11 ans et celui de 16 ans, persévéré à aller prendre sa douche, la porte entre-ouverte, tous les jours, aussitôt rentrée de l'école. Un tel empressement à faire sa toilette serait déjà peu en phase avec le comportement généralement observé chez les adolescents, qui préfèrent à cette heure encore diurne prendre un goûter, rencontrer des amis ou communiquer avec eux, se détendre devant la télévision ou un ordinateur, voire faire leurs devoirs et réviser. Ledit empressement devient incompréhensible chez cette jeune fille, s'il fallait admettre qu'elle savait à quoi elle s'exposait alors qu'il y avait des échappatoires faciles (différer son arrivée à la maison, quitte à se réfugier chez son amie et voisine, sachant que H______ rentrait vers 17:30, ou du moins attendre le retour de sa mère avant de se doucher). Certes, l'appelante A______ a tenté d'expliquer ce comportement apparemment peu plausible par une situation d'emprise mais ses dires à ce propos ne trouvent pas d'appui dans le dossier (cf. infra consid. 2.2.2) et ne sont guère illustrés par des exemples précis, au-delà de l'évocation de l'incident de l'été 2010 qui semble avoir précipité la séparation de sa mère et son beau-père. Pour sa part, le MP a soutenu que la jeune fille ne réalisait pas qu'elle était victime d'actes répréhensibles, ce qui ne correspond pas davantage aux éléments de la procédure, à commencer par les déclarations de l'intéressée qui n'a jamais rien évoqué de la sorte et qui n'est guère probant pour une jeune fille pubère. Le récit de A______ présente une double incohérence majeure au plan de la chronologie. D'une part, on ne voit pas comment ces agissements auraient pu se dérouler quotidiennement s'agissant de la période allant de février à début septembre 2007, la mère de la victime alléguée étant alors en congé maternité. D'autre part, la jeune fille, née le ______ 1994, a déclaré que le dernier épisode avait eu lieu peu après son 16ème anniversaire, alors que le dossier établit que son beau-père ne vivait plus au domicile de la famille depuis le mois de juillet 2010. Certes, la séparation n'était pas définitive, et quelques incursions de C______, aux fins de voir son fils, semblent avoir eu lieu jusqu'au printemps 2011, mais personne n'a jamais soutenu qu'elles étaient quotidiennes et la partie plaignante n'a pas précisé qu'il y aurait eu une diminution dans la fréquence des actes dénoncés. Indépendamment de la question de la fréquence, la partie plaignante n'a pas plus fourni le moindre détail sur les circonstances dans lesquelles elle aurait continué de prendre sa douche avant le</w:t>
      </w:r>
    </w:p>
    <w:p>
      <w:r>
        <w:t>- 18/24 - P/15916/2012 retour de sa mère et de son petit frère, mais en présence du beau-père abuseur, pourtant désormais banni de la maison. Enfin, il ne peut être exclu que la jeune fille ait ressenti le besoin de protéger sa mère et/ou son petit frère, étant rappelé que le conflit entre les époux était vif, qu'il tournait notamment autour des relations personnelles entre le père et le fils et que, selon G______, H______ avait abordé avec elle la question des abus, alors même qu'elle évoquait sa rancune à l'égard de son époux, qui avait eu un enfant avec une autre femme. Il ne peut donc être affirmé que la jeune fille ne pouvait envisager aucun bénéfice d'accusations graves à l'encontre de son beau-père. Aux termes de cette analyse, il ne peut pas être retenu que les dires de l'appelante A______ sont globalement crédibles. 2.2.2. Sur certains détails, son récit est en outre contredit par les autres éléments du dossier. Alors qu'elle a toujours déclaré dans la procédure que les faits s'étaient uniquement déroulés dans la salle de bains, à son retour de l'école en fin d'après-midi, l'appelante A______ aurait, selon les dires de sa mère à la police et au MP, évoqué avec elle la chambre à coucher et la pause de midi. Selon elle, l'appelante aurait exigé que I______ conserve le secret sur ses confidences en lui expliquant qu'elle avait été menacée par son beau-père mais, pour le témoin, son amie ne voulait pas blesser sa mère. Le climat de violence psychologique et physique qu'elle évoque – sans précisions – pour expliquer son absence de réaction n'a pas été mentionné par les autres protagonistes, notamment I______ ou G______. Certes, la mère a fait allusion à "des épisodes de violences" à l'audience de jugement, mais cette évocation, tardive, imprécise et contraire à ses déclarations précédentes, semble plutôt se référer à un incident unique, intervenu en été 2010, au sujet duquel la jeune fille avait d'ailleurs déclaré à son pédiatre que son beau-père avait levé la main, mais sans la frapper. Au demeurant, H______ a plutôt reproché à son ex-époux d'être trop attentionné avec sa belle-fille. Plus loin dans la procédure, A______ a aussi expliqué ne pas s'être confiée au sujet des abus à son pédiatre ou aux gendarmes, lorsqu'elle s'était plainte de menaces de la part de C______, parce qu'il lui était difficile d'évoquer ces faits avec des hommes, mais cela n'explique pas pourquoi elle n'en a pas parlé à son enseignante, aux infirmières scolaires ou à la conseillère aux études, toutes de sexe féminin. On peut aussi s'étonner de ce que A______ n'ait pas pu produire les messages menaçants qu'elle a dénoncés aux gendarmes, affirmant les avoir détruits. En revanche, contrairement au premier juge, la Cour n'estime pas déterminante la question du rideau de douche, dès lors que A______ a décrit, à la police déjà, la douche comme comprenant tant un rideau qu'une paroi de plexiglas, ce qui n'est pas nécessairement incompatible avec l'évocation de ladite paroi par la mère.</w:t>
      </w:r>
    </w:p>
    <w:p>
      <w:r>
        <w:t>- 19/24 - P/15916/2012 2.2.3. En ce qui concerne les autres preuves recueillies, il existe des contradictions dans les dépositions censées appuyer l'accusation, qui affaiblissent très fortement leur crédibilité. I______ a déclaré à la police avoir toujours eu de mauvais rapports avec le beau-père de son amie, alors que, devant le MP, elle disait de lui qu'il était gentil. À ce stade, elle ne parvenait plus à décrire précisément les faits tels qu'ils lui auraient été confiés au fur et à mesure. À la police, H______ a déclaré s'être exclamée qu'heureusement son époux n'avait pas touché à sa fille parce que M______ lui disait avoir croisé son époux avec d'autres femmes, ce qui, soit observé au passage, relèverait d'un dialogue assez incongru dans la mesure où il n'y a a priori pas de raison de faire un lien entre les aventures d'un homme supposé volage et des attouchements sur une adolescente. H______ a aussi affirmé qu'il lui avait été relaté que son époux avait par le passé prononcé la phrase selon laquelle il projetait de faire de sa belle-fille son épouse, mais sans rapport apparent avec sa conversation avec M______. Pourtant, devant le MP, H______ a indiqué que cette phrase lui avait été rapportée peu de temps auparavant, par une autre amie, S______, qui n'a jamais été entendue, et qu'elle l'avait répétée à M______ lors de leur conversation à l'origine du dévoilement. Or, ni l'une ni l'autre de ces deux versions ne correspondent aux déclarations du témoin M______. Celle-ci n'a pas non plus affirmé avoir peur du prévenu, contrairement à ce qu'avait affirmé H______ pour justifier son refus de donner l'identité de son amie lors de sa première audition, et n'a pas évoqué la phrase sur les projets de mariage. En outre, selon O______, c'était elle qui avait révélé à H______ les confidences de C______ à son propre époux – ce qui serait plus logique –, mais ce après que "l'histoire [fut] sortie dans son appartement", soit après le dévoilement. La crédibilité des déclarations de H______ est affaiblie aussi par le conflit important qui l'a opposée à son ex-époux, ce qui impose une certaine retenue dans l'appréciation de ses déclarations. 2.2.4. Enfin, s'il est vrai que le dossier fait état de difficultés psychologiques connues par la jeune fille, il est aussi question d'une situation psychosociale problématique ancienne et de rapports difficiles avec son propre père. En outre, l'attestation de la psychologue qui l'a brièvement suivie est particulièrement sommaire. Il n'est fait aucune description de la symptomatologie censée correspondre à un état de stress post-traumatique chronique, pas plus que des faits décrits par la jeune fille à l'auteure du document, de sorte qu'il est impossible d'affirmer qu'il s'agit de ceux objet de la présente procédure et qu'il y aurait un lien avec le supposé stress post-traumatique. 2.2.5. En définitive, face à ces faiblesses, le seul élément à charge tient à la similitude entre les accusations portées par A______ et celles consenties par G______ devant le MP. Il est vrai que cet élément est troublant et que la réticence de</w:t>
      </w:r>
    </w:p>
    <w:p>
      <w:r>
        <w:t>- 20/24 - P/15916/2012 la jeune fille à s'exprimer pourrait être lue comme un facteur de crédibilité, auquel il faut ajouter l'absence apparente de tout intérêt secondaire. Toutefois, la façon dont ces révélations ont été induites impose une grande circonspection dans leur appréciation. G______ a dit avoir été l'objet de pressions exercées tant par A______ que par sa mère, lesquelles lui avaient rapporté ce que la première disait avoir subi, tout en évoquant les déboires conjugaux de H______. Ainsi, la similitude des récits pourrait s'expliquer par cette communication préalable de ce qui serait arrivé à A______. G______ ne s'est rendue à la police que sur l'insistance de H______, qui avait d'ailleurs contacté l'inspectrice en charge du dossier et avait affirmé à tort que cette seconde victime s'était rendue préalablement au Centre LAVI. À la police, G______ a livré un récit vague et n'a pas pu, ou pas voulu donner de précisions. Devant le MP, elle n'a fini par évoquer des attouchements commis par C______ que confrontée à la déclaration de O______, soit sous une pression supplémentaire, s'ajoutant à celle exercée, selon elle, par les H______ et A______. Avant cela, elle avait incidemment déclaré avoir fortuitement rencontré un an plus tôt C______, et l'avoir salué malgré les faits qu'elle avait appris au sujet de sa belle-fille, ce qui donne à penser qu'elle ne se considérait pour sa part pas une victime. Devant le MP, G______ est restée vague dans la description des faits, prétextant ne pas avoir souvenir de la dernière occurrence et refusant expressément de donner des détails, ce qui se traduit d'ailleurs par un acte d'accusation tout aussi imprécis. La déposition de O______ n'est pas un élément à l'appui de l'accusation concernant les faits au préjudice de G______, dans la mesure où celle-ci n'est pas moins que son époux, lequel nie même savoir qui est la jeune fille, susceptible d'avoir livré un témoignage de complaisance. À cet égard, il est surprenant qu'O______ ait livré un récit quasi identique des circonstances entourant les deux révélations que lui auraient faites N______ : par deux fois, en rentrant à la maison, son époux lui aurait fait jurer de garder le silence avant de lui rapporter ce qu'il avait entendu de C______ (celui-ci voulait épouser sa belle-fille), ou ce qu'il l'avait vu faire (être embrassé sur la bouche par G______), et dans l'un comme dans l'autre cas, O______ n'aurait rien rapporté à son amie. 2.2.6. Pour sa part, C______ a été cohérent et constant dans ses dénégations, de sorte qu'il ne prête pas le flanc à la crique à ce niveau. Il ne saurait être exigé davantage, étant rappelé qu'il n'a pas le fardeau de la preuve de son innocence. 2.2.7. En conclusion, si leur fausseté n'est pas pour autant établie, les déclarations des victimes alléguées ne peuvent être tenues pour plus, ni même autant, crédibles que celles du prévenu, de sorte que l'acquittement de ce dernier doit être confirmé, au bénéfice de la présomption d'innocence. Les appels de la partie plaignante et du MP seront partant rejetés.</w:t>
      </w:r>
    </w:p>
    <w:p>
      <w:r>
        <w:t>- 21/24 - P/15916/2012</w:t>
      </w:r>
    </w:p>
    <w:p>
      <w:r>
        <w:rPr>
          <w:b/>
        </w:rPr>
        <w:t>E. 3.1</w:t>
      </w:r>
    </w:p>
    <w:p>
      <w:r>
        <w:t>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 preuve de l'existence du dommage, son ampleur et sa relation de causalité adéquate avec la poursuite pénale introduite à tort incombent au requérant (arrêt du Tribunal fédéral 6B_595/2007 du 11 mars 2008 consid. 2.2). Constituent des atteintes particulièrement graves à la personnalité de la personne prévenue au sens de l'art. 429 al. 1 let. c in fine CPP : une privation de liberté (N. SCHMID, Schweizerische Strafprozessordnung : Praxiskommentar, Zurich 2009, n. 10 ad art. 429), une perquisition d'un retentissement public ou des retombées médiatiques ou familiales de l'affaire (M. NIGGLI / M. HEER / H. WIPRÄCHTIGER, Schweizerische Strafprozessordnung / Schweizerische Jugendstrafprozessordnung, Basler Kommentar StPO/JStPO, Bâle 2011, n. 27 ad art. 429). Une atteinte grave à la personnalité n'est pas déjà donnée du seul fait du poids psychique inhérent à toute procédure pénale (N. SCHMID, op. cit., n. 11 ad art. 429 ; ACPR/140/2013 du 12 avril 2013).</w:t>
      </w:r>
    </w:p>
    <w:p>
      <w:r>
        <w:rPr>
          <w:b/>
        </w:rPr>
        <w:t>E. 3.2</w:t>
      </w:r>
    </w:p>
    <w:p>
      <w:r>
        <w:t>C______ prétend à une indemnisation du tort moral subi du fait de la poursuite pénale, refusée par le premier juge au motif qu'au-delà de la gravité du type d'acte reproché, invoquée par l'intéressé, celui-ci, qui n'avait jamais été détenu, n'avait pas démontré avoir concrètement subi une atteinte grave dans sa personnalité. Ce constat ne peut qu'être confirmé. Certes, le reproche d'infractions à l'art. 187 CP est en soi sérieux. Dans le cas d'espèce toutefois, l'appelant ne prétend pas que la nouvelle de sa mise en prévention se serait répandue largement autour de lui et qu'il aurait subi une éviction sociale. Au contraire, il indique lui-même que ses proches n'ont jamais cru à sa culpabilité, ce qui lui a permis de ne pas devoir recourir à une autre forme de soutien, tel un suivi thérapeutique. Le seul exemple concret d'une conséquence sur sa vie tient à sa décision d'interrompre les relations personnelles avec son fils K______, décision qu'il a étonnamment prise après avoir été acquitté en première instance, alors que le juge civil en charge de la procédure de divorce n'avait pas posé de limites du fait de l'existence de la procédure pénale. En tout état, outre le fait qu'elle est bien davantage le résultat direct – et discutable – d'un choix que de la poursuite pénale, cette interruption n'a été que provisoire et ne saurait par conséquent être qualifiée d'atteinte grave à la personnalité. Force est ainsi de rejoindre le premier juge pour constater que l'appelant ne démontre pas que l'hypothèse de l'art. 429 al. 1 let. c CPP serait réalisée, de sorte que l'appel du prévenu acquitté sera rejeté.</w:t>
      </w:r>
    </w:p>
    <w:p>
      <w:r>
        <w:t>- 22/24 - P/15916/2012</w:t>
      </w:r>
    </w:p>
    <w:p>
      <w:r>
        <w:rPr>
          <w:b/>
        </w:rPr>
        <w:t>E. 3.3</w:t>
      </w:r>
    </w:p>
    <w:p>
      <w:r>
        <w:t>En revanche, celui-ci peut prétendre à la couverture de ses frais de défense contre les appels du MP et de la partie plaignante, soit l'essentiel de sa dernière note d'honoraires dont il ne sera retranché que l'activité liée à l'appel – rejeté – sur le tort moral. On peut considérer que cette activité a pris au moins une heure à la collaboratrice qui a plus particulièrement suivi le dossier. Le tarif pratiqué étant adéquat, de même que le temps consacré, les conclusions en indemnisation seront partant admises à concurrence de CHF 5'616,35 (= [CHF 5'550 ./. 349,95] + TVA au taux de 8%).</w:t>
      </w:r>
    </w:p>
    <w:p>
      <w:r>
        <w:rPr>
          <w:b/>
        </w:rPr>
        <w:t>E. 4</w:t>
      </w:r>
    </w:p>
    <w:p>
      <w:r>
        <w:t>Les appels sont tous rejetés, étant précisé que la plus grande partie du présent arrêt est consacrée à la confirmation du verdict d'acquittement. Il se justifie partant de laisser les frais de la procédure de deuxième instance à la charge de l'Etat.</w:t>
      </w:r>
    </w:p>
    <w:p>
      <w:r>
        <w:rPr>
          <w:b/>
        </w:rPr>
        <w:t>E. 5</w:t>
      </w:r>
    </w:p>
    <w:p>
      <w:r>
        <w:t>5.1.1.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5.1.2.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w:t>
      </w:r>
    </w:p>
    <w:p>
      <w:r>
        <w:t>- 23/24 - P/15916/2012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rPr>
          <w:b/>
        </w:rPr>
        <w:t>E. 5.2</w:t>
      </w:r>
    </w:p>
    <w:p>
      <w:r>
        <w:t>Considéré globalement, l'état de frais du conseil juridique gratuit de A______ satisfait aux exigences développées en application des art. 135 CPP, applicable par analogie, et 16 du règlement sur l'assistance juridique du 28 juillet 2010 (RAJ - E 2 05.04), sous la seule réserve de ce que la majoration forfaitaire admissible est de 10%, vu le nombre d'heures total consacré au dossier. Ledit conseil se verra partant allouer une indemnité de CHF 2'376.-, TVA comprise, pour dix heures d'activité de cheffe d'étude. * * * * *</w:t>
      </w:r>
    </w:p>
    <w:p>
      <w:r>
        <w:t>- 24/24 - P/15916/2012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