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AARP/536/2015 vom 8. Dezember 2015</w:t>
      </w:r>
    </w:p>
    <w:p>
      <w:r>
        <w:t>GE Cour de justice, 2015-12-08, FR</w:t>
      </w:r>
    </w:p>
    <w:p>
      <w:r>
        <w:rPr>
          <w:b/>
        </w:rPr>
        <w:t xml:space="preserve">Quelle: </w:t>
      </w:r>
      <w:r>
        <w:t>https://mcp.opencaselaw.ch/entscheid/ge_gerichte_AARP_536_2015</w:t>
      </w:r>
    </w:p>
    <w:p>
      <w:r>
        <w:t>FR: GE_GERICHTE AARP/536/2015 du 8 décembre 2015</w:t>
      </w:r>
    </w:p>
    <w:p>
      <w:r>
        <w:t>IT: GE_GERICHTE AARP/536/2015 del 8 dicembre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t>- 8/12 - PM/1093/2015</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La condition objective de l'octroi de la libération conditionnelle de l'appelant est réalisée depuis le 21 septembre 2015. La condition subjective ne l'est en revanche pas. Par son comportement au cours de sa détention, l'appelant démontre une difficulté certaine à se plier aux règles imposées et une incapacité de maîtriser son impulsivité et sa colère face à la frustration. Certes, l'absence de signalement avant les émeutes de février 2014 soutient sa thèse selon laquelle il s'était bien comporté jusque-là, encore que les rapports médicaux qu'il a produits, et qui datent de cette période, mentionnent qu'il était déjà connu du Service de psychiatrie de liaison pour un trouble de personnalité émotionnellement labile et des passages, ou risque de passage à l'acte, auto-dommageables. Toutefois, comme l'intéressé le reconnait lui-même, certains incidents survenus depuis lors n'ont en réalité rien à voir avec les faits dont il indique avoir été victime. Au demeurant, des actes relevant de la vengeance ou de la justice propre ne sont guère une indication d'une intégration des règles de la vie en société. Par ailleurs, l'appelant fait également preuve d'une faible prise de conscience de la gravité de l'acte pour lequel il a été condamné à une lourde peine, et a des tendances à l'impulsivité, constat faisant écho au diagnostic de trouble de la personnalité émotionnellement labile évoqué dans les rapports psychiatriques qu'il semble nier, ce qui n'augure rien de bon sur le plan du risque de récidive. Contrairement à ce qu'il affirme, il n'est pas établi que ses projets seraient réalistes, la possibilité de renouveler son autorisation de séjour en K______, alors qu'il est sous le coup d'une procédure pénale pour des actes de violence sur sa fille, n'est pas démontrée, aucune démarche n'ayant été entreprise, et la promesse d'embauche ne présentant pas de garanties suffisantes, pouvant être de complaisance ou, pour d'autres raisons, pas concrétisée. La simple proposition d'assortir la libération conditionnelle d'une règle de conduites interdisant l'entrée en Suisse ne permet pas de pallier le risque de récidive de comportements violents découlant de ce qui précède, le juge suisse ne pouvant s'accommoder de ce que de tels actes ne pourraient être commis qu'à l'étranger. En conclusion, la condition subjective d'une libération conditionnelle n'est, en l'état, pas réalisée. Il appartiendra à l'appelant de consentir des efforts sérieux durant les prochains mois, afin de pouvoir faire la preuve, lors du prochain examen de la question (art. 86 al. 3 CPP), d'un progrès sur le plan de la prise de conscience et du comportement en détention, et de présenter un projet réaliste pour la sortie. L'appel est rejeté.</w:t>
      </w:r>
    </w:p>
    <w:p>
      <w:r>
        <w:t>- 10/12 - PM/1093/2015</w:t>
      </w:r>
    </w:p>
    <w:p>
      <w:r>
        <w:rPr>
          <w:b/>
        </w:rPr>
        <w:t>E. 3</w:t>
      </w:r>
    </w:p>
    <w:p>
      <w:r>
        <w:t>Les frais de la procédure d'appel seront mis à la charge de l'appelant, qui succombe.</w:t>
      </w:r>
    </w:p>
    <w:p>
      <w:r>
        <w:rPr>
          <w:b/>
        </w:rPr>
        <w:t>E. 4</w:t>
      </w:r>
    </w:p>
    <w:p>
      <w:r>
        <w:t>Considéré dans sa globalité, l'état de frais produit par le défenseur d'office de l'appelant paraît adéquat et conforme aux principes pertinents en matière d'assistance judiciaire, de sorte qu'il n'est pas nécessaire de reprendre le détail des postes qui le composent. Aussi, l'indemnité requise par CHF 1'684,80, majoration forfaitaire de 20% et TVA comprise, sera-t-elle allouée. * * * * *</w:t>
      </w:r>
    </w:p>
    <w:p>
      <w:r>
        <w:t>- 11/12 - PM/1093/2015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