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AARP/535/2016 vom 6. Dezember 2016</w:t>
      </w:r>
    </w:p>
    <w:p>
      <w:r>
        <w:t>GE Cour de justice, 2016-12-06, FR</w:t>
      </w:r>
    </w:p>
    <w:p>
      <w:r>
        <w:rPr>
          <w:b/>
        </w:rPr>
        <w:t xml:space="preserve">Quelle: </w:t>
      </w:r>
      <w:r>
        <w:t>https://mcp.opencaselaw.ch/entscheid/ge_gerichte_AARP_535_2016</w:t>
      </w:r>
    </w:p>
    <w:p>
      <w:r>
        <w:t>FR: GE_GERICHTE AARP/535/2016 du 6 décembre 2016</w:t>
      </w:r>
    </w:p>
    <w:p>
      <w:r>
        <w:t>IT: GE_GERICHTE AARP/535/2016 del 6 dicembre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prétentions civiles ou certaines d'entre elles (let. d).</w:t>
      </w:r>
    </w:p>
    <w:p>
      <w:r>
        <w:t>- 6/18 - P/4083/2016</w:t>
      </w:r>
    </w:p>
    <w:p>
      <w:r>
        <w:t>La Chambre limite son examen aux violations décrites dans l'acte d'appel (art. 404 al. 1 CPP), sauf en cas de décisions illégales ou inéquitables (art. 404 al. 2 CPP).</w:t>
      </w:r>
    </w:p>
    <w:p>
      <w:r>
        <w:rPr>
          <w:b/>
        </w:rPr>
        <w:t>E. 2</w:t>
      </w:r>
    </w:p>
    <w:p>
      <w:r>
        <w:t>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w:t>
      </w:r>
    </w:p>
    <w:p>
      <w:r>
        <w:t>- 7/18 - P/4083/2016 façon soutenable par un ou plusieurs arguments de nature à emporter la conviction (ATF 129 I 8 consid. 2.1 ; arrêts du Tribunal fédéral 6B_109/2014 du 25 septembre 2014 consid. 2.1 ; 6B_398/2013 du 11 juillet 2013 consid. 2.1 et 6B_642/2012 du 22 janvier 2013 consid. 1.1).</w:t>
      </w:r>
    </w:p>
    <w:p>
      <w:r>
        <w:t>2.1.3. A l'instar des autres moyens de preuve, le juge apprécie librement la force probante d'une expertise – dont celles portant sur l'analyse de profils d'ADN (M. NIGGLI / M. HEER / H. WIPRÄCHTIGER (éds), Strafprozessordnung – Jugendstrafprozessordnung, Basler Kommentar StPO/JStPO, 2e éd., Bâle 2014, art. 182 n. 2 ; A. KUHN / Y. JEANNERET (éds), Commentaire romand : Code de procédure pénale suisse, Bâle 2011, art. 182 n. 2, 7 et 10) –, étant rappelé qu'il ne peut s'écarter des conclusions de l'expert sans motifs sérieux et qu'il doit alors motiver sa décision (ATF 129 I 49 ; arrêt du Tribunal fédéral 6B_787/2009 du 27 novembre 2009 consid. 1.1).</w:t>
      </w:r>
    </w:p>
    <w:p>
      <w:r>
        <w:t>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Université de Lausanne 2011, p. 38 ; M. PHIPPS / S. PETRICEVIC, The tendency of individuals to transfer DNA to handled items, in Forensic Science International 168, 2007,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 Morphological and genetic studies, in Forensic Science International, Genetics 11 (2014),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(A. LOWE / C. MURRAY / J. WHITAKER / G. TULLY / P. GILL, The propensity of individuals to deposit DNA and secondary transfer of low level DNA from individuals to inert surfaces, in Forensic Science International 129, 2002, p. 33).</w:t>
      </w:r>
    </w:p>
    <w:p>
      <w:r>
        <w:t>- 8/18 - P/4083/2016</w:t>
      </w:r>
    </w:p>
    <w:p>
      <w:r>
        <w:t>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in : Y. SCHWANDER [ed.], Pratique juridique actuelle – PJA 2013, p. 1217 ss, p. 1220-1221).</w:t>
      </w:r>
    </w:p>
    <w:p>
      <w:r>
        <w:t>2.2.1. L'art. 115 al. 1 LEtr réprime, notamment, le comportement de celui qui contrevient aux dispositions sur l'entrée en Suisse prévues à l'art. 5 LEtr (let. a) ou y séjourne illégalement (let. b).</w:t>
      </w:r>
    </w:p>
    <w:p>
      <w:r>
        <w:t>2.2.2. Aux termes de l'art. 5 al. 1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L'entrée sur le territoire sera ainsi refusée à celui qui ne remplit pas l'ensemble de ces conditions (M. CARONI / T. GÄCHTER / D. THURNHERR (éds), op. cit. n. 15 ad art. 5). L'interdiction d'entrée au sens du droit des étrangers (art. 67 LEtr) vise à empêcher l'entrée ou le retour en Suisse d'un étranger dont le séjour en Suisse est indésirable (arrêt du Tribunal fédéral 6B_173/2013 du 19 août 2013 consid. 2.3).</w:t>
      </w:r>
    </w:p>
    <w:p>
      <w:r>
        <w:t>2.3.1. En l'espèce, la prévention de l'appelant repose principalement sur les résultats de l'analyse de l'ADN retrouvé sur la fenêtre extérieure du logement cambriolé. S'il est vrai qu'une telle expertise constitue un moyen de preuve que le juge apprécie librement, il n'en demeure pas moins qu'il s'agit d'un élément très fort, dont le juge ne peut s'écarter qu'en présence de motifs sérieux, en fonction de circonstances concrètes qui ne sont en l'espèce pas réalisées. Il n'y a en effet aucun élément au dossier qui permette de mettre en doute la valeur probante des rapports d'expertise. Les critiques formulées par la défense sur les analyses ADN – dont la fiabilité n'a été remise en cause qu'au stade de l'appel – sont ainsi d'ordre purement théorique.</w:t>
      </w:r>
    </w:p>
    <w:p>
      <w:r>
        <w:t>- 9/18 - P/4083/2016</w:t>
      </w:r>
    </w:p>
    <w:p>
      <w:r>
        <w:t>Se pose également la question de savoir si la présence de la trace biologique, appartenant à l'appelant, qui a été retrouvée sur la fenêtre du logement cambriolé peut être attribuée, in casu, à un transfert secondaire d'ADN. Or, au vu de la doctrine évoquée précédemment, le risque d'un transfert secondaire est faible. La CPAR ne saurait par conséquent remettre en cause la valeur probante de l'analyse d'ADN pour le seul motif qu'un faible risque d'erreur existe, ce d'autant qu'en tout état de cause, un tel transfert secondaire implique nécessairement la présence de l'appelant sur les lieux, d'après la doctrine précédemment citée.</w:t>
      </w:r>
    </w:p>
    <w:p>
      <w:r>
        <w:t>La CPAR relève par ailleurs que l'on ne se trouve pas dans la situation où un recoupement, sur la base d'une analyse ADN, constituerait le seul lien entre le prévenu, que rien ne semblerait lier aux faits de la cause, et une infraction. En effet, il est avéré que l'appelant a déjà été condamné à plusieurs reprises, en Suisse, notamment pour des cambriolages et qu'il a admis avoir déjà cambriolé par le passé à proximité de D______. En outre, l'appelant, qui venait de sortir de prison, n'a pas été en mesure de donner des explications concernant son emploi du temps le soir des faits et a, au contraire, fourni des explications contradictoires et incohérentes. Il est en outre impossible que son ADN ait été déposé sur la fenêtre extérieure du logement cambriolé trois ans avant les faits, compte tenu des nombreuses intempéries et des nettoyages depuis lors.</w:t>
      </w:r>
    </w:p>
    <w:p>
      <w:r>
        <w:t>Au vu de ce qui précède, la CPAR considère qu'il existe un faisceau d'indices convergents qui lui permet d'avoir l'intime conviction que l'appelant a commis le cambriolage qui lui est reproché. Ce comportement réalise les éléments constitutifs des infractions aux articles 139 ch. 1, 144 al. 1 et 186 CP, ce qui n'est en soi pas contesté.</w:t>
      </w:r>
    </w:p>
    <w:p>
      <w:r>
        <w:t>Partant, les infractions précitées sont réalisées et le verdict de culpabilité rendu à l'encontre de l'appelant sera confirmé.</w:t>
      </w:r>
    </w:p>
    <w:p>
      <w:r>
        <w:t>2.3.2. Il est établi que l'appelant s'est rendu, d'après ses propres aveux, à plusieurs reprises dans un bar à Thônex, bien qu'il fît l'objet d'une interdiction d'entrée en Suisse valable jusqu'au 16 mars 2020. C'est d'ailleurs en Suisse, à Thônex, que l'appelant a été interpellé le 26 février 2016 par les gardes-frontière suisses.</w:t>
      </w:r>
    </w:p>
    <w:p>
      <w:r>
        <w:t>En revanche, il ressort des déclarations de l'appelant que celui-ci a résidé en France et non en Suisse, dès sa sortie de prison en novembre 2015, ce qu'aucune pièce du dossier ne vient contredire. Sa présence à Genève, le jour de son arrestation, est par</w:t>
      </w:r>
    </w:p>
    <w:p>
      <w:r>
        <w:t>- 10/18 - P/4083/2016 conséquent constitutive d'une infraction d'entrée illégale au sens de l'art. 115 al. 1 let. a LEtr, comme décrit dans l'acte d'accusation, et non de séjour illégal.</w:t>
      </w:r>
    </w:p>
    <w:p>
      <w:r>
        <w:t>Partant, le jugement querellé sera réformé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w:t>
      </w:r>
    </w:p>
    <w:p>
      <w:r>
        <w:rPr>
          <w:b/>
        </w:rPr>
        <w:t>E. 3.2</w:t>
      </w:r>
    </w:p>
    <w:p>
      <w:r>
        <w:t>En l'espèce, la faute de l'appelant est grave. Il n'a pas hésité à pénétrer illégalement en Suisse, faisant fi de l'interdiction d'entrée sur le territoire qui lui avait été valablement notifiée. Il n'a pas hésité non plus à reprendre son activité délictuelle en commettant un cambriolage un mois seulement après sa libération conditionnelle.</w:t>
      </w:r>
    </w:p>
    <w:p>
      <w:r>
        <w:t>Son comportement dénote un mépris total pour le patrimoine d'autrui. Son mobile est purement égoïste, dès lors qu'il a agi par appât du gain, ce que sa situation ne justifiait pas, puisqu'il avait un logement et des revenus, selon ses dires.</w:t>
      </w:r>
    </w:p>
    <w:p>
      <w:r>
        <w:t>Sa collaboration à la procédure a été mauvaise, dès lors qu'il a persisté à nier les faits qui lui étaient reprochés et à donner des explications fantaisistes.</w:t>
      </w:r>
    </w:p>
    <w:p>
      <w:r>
        <w:t>Il y a cependant lieu de réduire la peine infligée par le premier juge, dès lors que l'appelant a été reconnu coupable d'entrée illégale, commise à une seule reprise, et non de séjour illégal.</w:t>
      </w:r>
    </w:p>
    <w:p>
      <w:r>
        <w:t>- 13/18 - P/4083/2016</w:t>
      </w:r>
    </w:p>
    <w:p>
      <w:r>
        <w:t>L'appelant a plusieurs antécédents récents pour des infractions similaires. La fréquence des condamnations témoigne ainsi de la régularité de son activité délictuelle et de son absence d'amendement. Considérant qu'il a récidivé immédiatement après sa sortie de prison pour des infractions de même type, après avoir été condamné à plusieurs peines privatives de liberté, le pronostic se présente sous un jour très défavorable. Le comportement de l'appelant démontre en outre son mépris de la législation suisse en vigueur. Une peine ferme seule s'avérant insuffisante pour détourner l'appelant de la commission de nouvelles infractions, la révocation de la libération conditionnelle s'impose.</w:t>
      </w:r>
    </w:p>
    <w:p>
      <w:r>
        <w:t>Conformément à l'art. 89 al. 6 CP, les conditions d'une peine privative de liberté étant réunies s'agissant des nouvelles infractions et celle-ci entrant en concours avec le solde d'un an, cinq mois et 29 jours devenu exécutoire compte tenu de la révocation de la libération conditionnelle, une peine d'ensemble de 21 mois, sous déduction de 284 jours de détention avant jugement, paraît appropriée.</w:t>
      </w:r>
    </w:p>
    <w:p>
      <w:r>
        <w:t>Le jugement entrepris sera réformé sur ce point. 4. L'appelant, qui succombe pour l'essentiel, supportera les 3/4 des frais de la procédure envers l'Etat (art. 428 CPP). 5.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5.2.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un tarif horaire, débours de l'étude inclus, de CHF 125.- pour un collaborateur (let. b) et de CHF 200.- (let. c) pour un chef d'étude. En cas d'assujettissement, l'équivalent de la TVA est versé en sus.</w:t>
      </w:r>
    </w:p>
    <w:p>
      <w:r>
        <w:t>5.3. Seules les heures nécessaires à la défense devant les juridictions cantonales sont retenues et sont appréciées en fonction notamment de la nature, de l'importance et</w:t>
      </w:r>
    </w:p>
    <w:p>
      <w:r>
        <w:t>- 14/18 - P/4083/2016 des difficultés de la cause, de la valeur litigieuse, de la qualité du travail fourni et du résultat obtenu (art. 16 al. 2 RAJ).</w:t>
      </w:r>
    </w:p>
    <w:p>
      <w:r>
        <w:t>5.4.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5.5.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TPF BB.2015.93 du 3 novembre 2015 consid. 4.2.3).</w:t>
      </w:r>
    </w:p>
    <w:p>
      <w:r>
        <w:t>5.6. En l'absence d'une décision autorisant exceptionnellement la désignation de deux défenseurs d'office ou conseils juridiques gratuits, les contacts de l'avocat désigné avec un second avocat, qui doit alors être qualifié de défenseur privé, ne sont pas couverts par l'assistance juridique (AARP/295/2015 du 12 juillet 2015 consid. 8.2.2.1).</w:t>
      </w:r>
    </w:p>
    <w:p>
      <w:r>
        <w:t>5.7. Les communications et courriers divers sont en principe inclus dans le forfait (AARP/326/2015 du 16 juillet 2015 ; AARP/193/2015 du 27 avril 2015) de même que d'autres documents ne nécessitant pas ou peu de motivation ou autre investissement particulier en termes de travail juridique, telles l'annonce d'appel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w:t>
      </w:r>
    </w:p>
    <w:p>
      <w:r>
        <w:t>- 15/18 - P/4083/2016</w:t>
      </w:r>
    </w:p>
    <w:p>
      <w:r>
        <w:t>5.8. En l'occurrence, le décompte produit par le défenseur d'office de l'appelant est adéquat et conforme aux principes exposés, à l'exception des postes "annonce d'appel" (15 minutes) et "déclaration d'appel" (30 minutes), dès lors qu'il s'agit d'une activité couverte par le forfait pour l'activité diverse, et des deux postes "conférence interne" (45 minutes chacun), de telles séances n'ayant pas à être indemnisées par l'assistance juridique en application des principes précédemment exposés. Il y a également lieu d'ajouter, au tarif de collaborateur, la durée de l'audience de l'appel (45 minutes) et de l'audience de lecture du dispositif (15 minutes).</w:t>
      </w:r>
    </w:p>
    <w:p>
      <w:r>
        <w:t>5.9. En conclusion, l'indemnisation requise pour la procédure d'appel sera arrêtée à CHF 2'902.50 correspondant à 17h45 d'activité au tarif de CHF 125.-/heure et une heure d'activité au tarif de CHF 200.-/heure, plus la majoration forfaitaire de 20% (CHF 483.75).</w:t>
      </w:r>
    </w:p>
    <w:p>
      <w:r>
        <w:t>* * * * *</w:t>
      </w:r>
    </w:p>
    <w:p>
      <w:r>
        <w:t>- 16/18 - P/4083/2016</w:t>
      </w:r>
    </w:p>
    <w:p>
      <w:r>
        <w:rPr>
          <w:b/>
        </w:rPr>
        <w:t>E. 6</w:t>
      </w:r>
    </w:p>
    <w:p>
      <w:r>
        <w:t>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3e éd., Bâle 2013, n. 130 ad art. 47 ; arrêt du Tribunal fédéral 6B_1202/2014 du 14 avril 2016 consid. 3.5). En général, la culpabilité de l'auteur est amplifiée du fait qu'il n'a pas tenu compte de l'avertissement constitué par la précédente condamnation, et sa rechute témoigne</w:t>
      </w:r>
    </w:p>
    <w:p>
      <w:r>
        <w:t>- 11/18 - P/4083/2016 d'une énergie criminelle accrue (R. ROTH / L. MOREILLON, Code pénal I : art. 1- 100 CP, Bâle 2009, n. 55 ad art. 47).</w:t>
      </w:r>
    </w:p>
    <w:p>
      <w:r>
        <w:t>3.1.2. En vertu de l'art. 49 al. 1 CP, lorsqu'un délinquant, par plusieurs actes, encourt plusieurs peines privatives de liberté, le juge le condamne à la peine de l'infraction la plus grave et en augmente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w:t>
      </w:r>
    </w:p>
    <w:p>
      <w:r>
        <w:t>3.1.3. L'art. 42 al. 2 CP prévoit que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3.1.4.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toutefois sans pertinence (arrêt du Tribunal fédéral 6B_663/2009 du 19 octobre 2009 consid. 1.2).</w:t>
      </w:r>
    </w:p>
    <w:p>
      <w:r>
        <w:t>La commission d'un nouveau crime ou d'un nouveau délit ne constitue que l'un des facteurs à considérer, le pronostic quant à la capacité de l'intéressé à vivre de manière conforme à la loi dans le futur devant à nouveau être établi (G. STRATENWERTH, Schweizerisches Strafrecht, Allgemeiner Teil II, 2e éd., Berne 2006, § 5 n. 95 p. 164 et M. NIGGLI / H. WIPRÄCHTIGER, Basler Kommentar Strafrecht I : Art. 1-110 StGB, Jugendstrafgesetz, 2e éd., Bâle 2007, n. 3 ad art. 89). Par sa nature même, le pronostic à émettre ne saurait être tout à fait sûr ; il doit suffire de pouvoir raisonnablement conjecturer que le détenu ne commettra pas de nouvelles infractions</w:t>
      </w:r>
    </w:p>
    <w:p>
      <w:r>
        <w:t>- 12/18 - P/4083/2016 (arrêt du Tribunal fédéral 6B_1034/2013 du 31 mars 2014 consid. 2.1 ;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(arrêts du Tribunal fédéral 6B_1034/2013 du 31 mars 2014 consid. 2.1, 6B_663/2009 du 19 octobre 2009 consid. 1.2 et 6B_303/2007 du 6 décembre 2007 consid. 6).</w:t>
      </w:r>
    </w:p>
    <w:p>
      <w:r>
        <w:t>3.1.5.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w:t>
      </w:r>
    </w:p>
    <w:p>
      <w:r>
        <w:t>3.1.6. Les infractions de vol, dommages à la propriété, violation de domicile et entrée illégale sont réprimées d'une peine privative de liberté de cinq ans, respectivement trois et un an,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