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AARP/530/2016 vom 19. Dezember 2016</w:t>
      </w:r>
    </w:p>
    <w:p>
      <w:r>
        <w:t>GE Cour de justice, 2016-12-19, FR</w:t>
      </w:r>
    </w:p>
    <w:p>
      <w:r>
        <w:rPr>
          <w:b/>
        </w:rPr>
        <w:t xml:space="preserve">Quelle: </w:t>
      </w:r>
      <w:r>
        <w:t>https://mcp.opencaselaw.ch/entscheid/ge_gerichte_AARP_530_2016</w:t>
      </w:r>
    </w:p>
    <w:p>
      <w:r>
        <w:t>FR: GE_GERICHTE AARP/530/2016 du 19 décembre 2016</w:t>
      </w:r>
    </w:p>
    <w:p>
      <w:r>
        <w:t>IT: GE_GERICHTE AARP/530/2016 del 19 dicembre 2016</w:t>
      </w:r>
    </w:p>
    <w:p>
      <w:pPr>
        <w:pStyle w:val="Heading2"/>
      </w:pPr>
      <w:r>
        <w:t>Erwägungen</w:t>
      </w:r>
    </w:p>
    <w:p>
      <w:r>
        <w:rPr>
          <w:b/>
        </w:rPr>
        <w:t>E. 1</w:t>
      </w:r>
    </w:p>
    <w:p>
      <w:r>
        <w:t>L'appel et l'appel joint sont recevables pour avoir été interjetés et motivés selon la forme et dans les délais prescrits (art. 398 s. et 401 CPP).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 la quotité de la peine (let. b) ; les frais, les indemnités et la réparation du tort moral (let. f).</w:t>
      </w:r>
    </w:p>
    <w:p>
      <w:r>
        <w:t>- 6/17 - P/16321/2015 La Chambre limite son examen aux violations décrites dans l'acte d'appel (art. 404 al. 1 CPP), sauf en cas de décisions illégales ou inéquitables (art. 404 al. 2 CPP).</w:t>
      </w:r>
    </w:p>
    <w:p>
      <w:r>
        <w:rPr>
          <w:b/>
        </w:rPr>
        <w:t>E. 2</w:t>
      </w:r>
    </w:p>
    <w:p>
      <w:r>
        <w:t>A teneur de l'art. 19a al. 1 LStup, celui qui, sans droit, aura consommé intentionnellement des stupéfiants ou celui qui aura commis une infraction à l’art. 19 pour assurer sa propre consommation est passible de l’amende. Au vu des éléments du dossier, cette infraction est réalisée, ce qui n'est au demeurant pas contesté par l'appelant joint. Le jugement sera dès lors confirmé sur ce point.</w:t>
      </w:r>
    </w:p>
    <w:p>
      <w:r>
        <w:rPr>
          <w:b/>
        </w:rPr>
        <w:t>E. 3.1</w:t>
      </w:r>
    </w:p>
    <w:p>
      <w:r>
        <w:t>Aux termes de l'art. 186 CP, se rend coupable de violation de domicile notamment celui qui, d'une manière illicite et contre la volonté de l'ayant droit, aura pénétré dans une habitation ou un local fermé.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Les infractions en droit suisse, vol. II, Berne 2010, n° 45 ss ad art. 186 CP).</w:t>
      </w:r>
    </w:p>
    <w:p>
      <w:r>
        <w:rPr>
          <w:b/>
        </w:rPr>
        <w:t>E. 3.2</w:t>
      </w:r>
    </w:p>
    <w:p>
      <w:r>
        <w:t>En l'espèce, A______ a pénétré dans un magasin COOP alors qu'il faisait l'objet d'une interdiction d'entrée de deux ans, valablement notifiée et signée le 10 novembre 2014, faits constitutifs de violation de domicile. Entendu à plusieurs reprises, l'appelant a d'abord admis savoir être interdit de pénétrer dans le magasin, sans penser que l'achat de deux bières entrait dans cette interdiction, pour ensuite contester sa notification formelle de sorte qu'il ne pouvait en connaître la fin, et ce malgré sa signature. Compte tenu de ces variations, cette explication apparait de pure circonstance. Fort de ce constat, la thèse de la négligence avancée par l'appelant joint ne saurait être retenue. La première version n'est pas davantage de nature à le disculper, l'interdiction d'entrée n'étant assortie d'aucune exception, ce que l'appelant savait. Le verdict de culpabilité sera ainsi confirmé.</w:t>
      </w:r>
    </w:p>
    <w:p>
      <w:r>
        <w:t>- 7/17 - P/16321/2015</w:t>
      </w:r>
    </w:p>
    <w:p>
      <w:r>
        <w:rPr>
          <w:b/>
        </w:rPr>
        <w:t>E. 4</w:t>
      </w:r>
    </w:p>
    <w:p>
      <w:r>
        <w:t>4.1.1. L'article 115 al. 1 let. b LEtr réprime le comportement de quiconque séjourne illégalement en Suisse, notamment après l'expiration de la durée du séjour non soumis à autorisation ou du séjour autorisé. En l'occurrence, le recourant ne conteste pas s'être trouvé en séjour illicite mais invoque son impunissabilité du fait que l'infraction à la loi fédérale sur les étrangers serait le seul délit commis. 4.1.2. Par arrêté fédéral du 18 juin 2010, l'Assemblée fédérale a approuvé la reprise de la Directive sur le retour en tant que développement de l'acquis de Schengen (RO 2010 5925). Les juridictions suisses doivent ainsi faire leur possible pour mettre en œuvre la jurisprudence européenne relative à cette directive (arrêts du Tribunal fédéral 6B_320/2013 du 29 août 2013 consid. 3.1 ; 6B_173/2013 du 19 août 2013 consid. 1.4). La Cour de justice de l'Union européenne (ci-après :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 Au regard de cette jurisprudence et compte tenu du fait que l'appelant joint a été reconnu coupable de violation de domicile, il y a lieu d'admettre que la Directive sur le retour ne lui est pas applicable de sorte que la question de l'absence de mise en œuvre d'une procédure administrative tendant au renvoi forcé ne se pose pas et que le séjour est punissable. Le jugement de première instance sera dès lors confirmé sur ce point également.</w:t>
      </w:r>
    </w:p>
    <w:p>
      <w:r>
        <w:rPr>
          <w:b/>
        </w:rPr>
        <w:t>E. 5.1</w:t>
      </w:r>
    </w:p>
    <w:p>
      <w:r>
        <w:t>Les infractions de violation de domicile et de séjour illégal sont punies d'une peine privative de liberté de trois ans, respectivement d'un an au plus ou d'une peine pécuniaire ; celle à l'art. 19a ch. 1 LStup de l'amende.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- 8/17 - P/16321/2015</w:t>
      </w:r>
    </w:p>
    <w:p>
      <w:r>
        <w:rPr>
          <w:b/>
        </w:rPr>
        <w:t>E. 5.3</w:t>
      </w:r>
    </w:p>
    <w:p>
      <w:r>
        <w:t>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31 mars 2014).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L'infraction à l'art. 115 al. 1 let. b LEtr étant un délit continu, les peines prononcées de ce chef dans plusieurs procédures ne peuvent dépasser la peine maximale arrêtée par cette disposition (ATF 135 IV 6 consid. 4.2 p. 11 ; arrêt du Tribunal fédéral 6B_1226/2013, du 31 mars 2014 consid. 1.1).</w:t>
      </w:r>
    </w:p>
    <w:p>
      <w:r>
        <w:rPr>
          <w:b/>
        </w:rPr>
        <w:t>E. 5.4</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- 9/17 - P/16321/2015</w:t>
      </w:r>
    </w:p>
    <w:p>
      <w:r>
        <w:rPr>
          <w:b/>
        </w:rPr>
        <w:t>E. 5.5</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5.6.1.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(ATF 135 IV 180 consid. 2.1 p. 185).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5.6.2.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w:t>
      </w:r>
    </w:p>
    <w:p>
      <w:r>
        <w:t>- 10/17 - P/16321/2015 ses chances d'amendement. Il n'est pas admissible d'accorder un poids particulier à certains critères et d'en négliger d'autres qui sont pertinents (ATF 135 IV 180 consid. 2.1 p. 185 s. ; 134 IV 1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w:t>
      </w:r>
    </w:p>
    <w:p>
      <w:r>
        <w:rPr>
          <w:b/>
        </w:rPr>
        <w:t>E. 5.7</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cette disposition suppose la commission d'un crime ou d'un délit, laissant présager que le détenu libéré conditionnellement ne s'en tiendrait pas là (Message concernant la modification du Code pénal suisse et du Code pénal militaire, ainsi qu'une loi régissant la condition pénale des mineurs du 21 septembre 1998 ; FF 1998 1787). Un tribunal devait décider de la réintégration en procédant à une "projection comportementale dans l'avenir", excluant une "infraction accidentelle"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w:t>
      </w:r>
    </w:p>
    <w:p>
      <w:r>
        <w:t>- 11/17 - P/16321/2015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Il ne doit pas se contenter de cumuler les deux peines (M. DUPUIS / B. GELLER / G. MONNIER / L. MOREILLON / C. PIGUET / C. BETTEX / D. STOLL (éds), Code Pénal, Petit commentaire, n. 13 ad art. 89). 5.8.1. En l'espèce, la faute de l'intimé doit être qualifiée de moyenne, dans la mesure où il s'obstine à séjourner en Suisse sans droit malgré ses précédentes condamnations, faisant ainsi preuve d'un mépris patent de l'ordre juridique suisse. A cet égard, son argument selon lequel ses précédentes condamnations auraient été prononcées en violation du droit ne peut être retenu. La Cour de céans est liée par ces décisions entrées en force, si bien qu'il ne lui appartient pas de revoir leur légalité. L'intimé n'a eu que faire de l'interdiction d'entrée dans les magasins COOP dont il fait l'objet, agissant par pure convenance personnelle. La collaboration à la procédure ne peut être qualifiée de bonne, dès lors que l'appelant joint est revenu sur ses aveux initiaux au fur et à mesure de l'instruction. Sa situation personnelle précaire n'est pas un facteur à décharge, dans la mesure où elle est la conséquence de son refus de quitter un pays où il séjourne illégalement. Aucune prise de conscience par l'intéressé du caractère répréhensible de son comportement n'est perceptible et les condamnations dont il a fait l'objet n'ont eu aucun effet dissuasif, nonobstant le prononcé de peines privatives de liberté de plusieurs mois. Il a d'ailleurs récidivé deux jours après le jugement entrepris s'agissant de la violation de domicile, entrant dans le même magasin COOP et continue à séjourner en Suisse sans droit. Vu la répétition de délits de même genre, cumulée aux contraventions à la LStup et au refus explicite l'intimé de retourner volontairement dans son pays, alors même que sa demande d'asile a été rejetée, le pronostic ne peut qu'être défavorable. A cela</w:t>
      </w:r>
    </w:p>
    <w:p>
      <w:r>
        <w:t>- 12/17 - P/16321/2015 s’ajoute une situation précaire qui augmente encore le risque de commission de nouvelles infractions. Par conséquent, seule une peine ferme apparaît adéquate. Compte tenu de la situation personnelle et financière de l'intimé et de son imperméabilité à la sanction pénale, une peine pécuniaire ou un travail d'intérêt général est inenvisageable. Les conditions pour le prononcé d'une courte peine privative de liberté sont ainsi réunies. Les infractions retenues entrent en concours (art. 49 al.1 CP), ce qui justifie une augmentation de la peine pour l'infraction la plus grave, en l'occurrence la violation de domicile, passible d'une peine privative de liberté de trois ans, dans une juste proportion. Il convient de préciser que le présent séjour illégal ne relève pas d'une intention délictuelle différente des cas précédents, l'appelant ayant résidé en Suisse sans interruption depuis une vingtaine d'année. La quotité de la peine privative de liberté doit dès lors être fixée en tenant également compte des peines déjà subies par l'appelant en raison d'infractions à la LEtr. L'examen du casier judiciaire de l'appelant joint conduit la CPAR à évaluer à 330 jours (peines pécuniaires et peines privative de liberté confondues) la somme des peines déjà encourues sanctionnant le séjour illégal, soit un total en deçà de la peine menace d'un an prévue par la loi. Par conséquent, le plafond fixé par la jurisprudence n'est pas encore atteint. Il n'y a pas lieu de prononcer une peine complémentaire au sens de l'art. 49 al. 2 CP en raison de la condamnation du 21 avril 2016, la sanction prononcée à ce titre étant une peine pécuniaire, soit d'un genre différent. Eu égard à l'ensemble des éléments pertinents, la violation de domicile appelle une peine de l'ordre de 30 jours. Cette peine doit ensuite être augmentée pour tenir compte de la violation de la LEtr, préoccupante du point de vue de la prise de conscience, d'où en définitive une peine adéquate de 60 jours. 5.8.2. Dans la mesure où l'intimé a commis de nouveaux délits dans le délai d'épreuve d'un an que lui avait fixé le TAPEM au moment de l'octroi de sa libération conditionnelle le 8 mai 2015 (prolongé par la suite), il y a lieu de se prononcer encore sur son éventuelle révocation. Considérant qu'il a récidivé immédiatement après sa sortie de prison pour des infractions de même type, après avoir été condamné à plusieurs peines privatives de liberté, ne concrétisant de surcroît pas le projet avancé dans sa demande de libération conditionnelle, le pronostic se présente sous un jour très défavorable. Vu la durée de la période pénale, la récidive ne constitue pas un cas bagatelle, et démontre au contraire le mépris par l'appelant joint de la législation suisse en vigueur. Le</w:t>
      </w:r>
    </w:p>
    <w:p>
      <w:r>
        <w:t>- 13/17 - P/16321/2015 prononcé d'une peine ferme seule s'avère également insuffisante pour détourner l'appelant de la commission de nouvelles infractions. La révocation de la libération conditionnelle s'impose. Conformément à l'art. 89 al. 6 CP, les conditions d'une peine privative de liberté étant réunies s'agissant des nouvelles infractions, et celle-ci entrant en concours avec le solde de deux mois et 19 jours devenu exécutoire compte tenu de la révocation de la libération conditionnelle, l'appelant joint sera condamné à une peine d'ensemble, qui ne saurait être fixée par le simple cumul mathématique des deux peines à prendre en considération. Une peine d'ensemble de 130 jours de privation de liberté paraît dès lors appropriée. Le jugement entrepris sera réformé sur ce point.</w:t>
      </w:r>
    </w:p>
    <w:p>
      <w:r>
        <w:rPr>
          <w:b/>
        </w:rPr>
        <w:t>E. 5.9</w:t>
      </w:r>
    </w:p>
    <w:p>
      <w:r>
        <w:t>L'amende de CHF 100.-, qui sanctionne la consommation de stupéfiants, est mesurée et a été fixée conformément aux critères légaux, de sorte qu'elle sera maintenue, tout comme la peine privative de liberté de substitution.</w:t>
      </w:r>
    </w:p>
    <w:p>
      <w:r>
        <w:rPr>
          <w:b/>
        </w:rPr>
        <w:t>E. 6</w:t>
      </w:r>
    </w:p>
    <w:p>
      <w:r>
        <w:t>Vu l'issue de la procédure, les conclusions de l'appelant joint tendant à son indemnisation seront rejetées.</w:t>
      </w:r>
    </w:p>
    <w:p>
      <w:r>
        <w:rPr>
          <w:b/>
        </w:rPr>
        <w:t>E. 7</w:t>
      </w:r>
    </w:p>
    <w:p>
      <w:r>
        <w:t>L'intimé, qui succombe, supportera les frais de la procédure envers l'Etat, comprenant un émolument de CHF 1'500.- (art. 428 CPP et 14 al. 1 let. e du Règlement fixant le tarif des frais en matière pénale du 22 décembre 2010 [RTFMP ; E 4 10.03]).</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w:t>
      </w:r>
    </w:p>
    <w:p>
      <w:r>
        <w:t>- 14/17 - P/16321/2015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w:t>
      </w:r>
    </w:p>
    <w:p>
      <w:r>
        <w:rPr>
          <w:b/>
        </w:rPr>
        <w:t>E. 8.3</w:t>
      </w:r>
    </w:p>
    <w:p>
      <w:r>
        <w:t>En l'occurrence, considéré dans sa globalité, l'état de frais produit par le défenseur d'office paraît adéquat et conforme aux principes qui précèdent. L'indemnité sera arrêtée à CHF 1'684.80, correspondant à six heures et 30 minutes d'activité au tarif horaire de CHF 200.-, majoration forfaitaire de 20% et équivalent de la TVA au taux de 8% en CHF 124.80 inclus.</w:t>
      </w:r>
    </w:p>
    <w:p>
      <w:r>
        <w:t>- 15/17 - P/16321/2015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