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AARP/52/2020 vom 4. Februar 2020</w:t>
      </w:r>
    </w:p>
    <w:p>
      <w:r>
        <w:t>GE Cour de justice, 2020-02-04, FR</w:t>
      </w:r>
    </w:p>
    <w:p>
      <w:r>
        <w:rPr>
          <w:b/>
        </w:rPr>
        <w:t xml:space="preserve">Quelle: </w:t>
      </w:r>
      <w:r>
        <w:t>https://mcp.opencaselaw.ch/entscheid/ge_gerichte_AARP_52_2020</w:t>
      </w:r>
    </w:p>
    <w:p>
      <w:r>
        <w:t>FR: GE_GERICHTE AARP/52/2020 du 4 février 2020</w:t>
      </w:r>
    </w:p>
    <w:p>
      <w:r>
        <w:t>IT: GE_GERICHTE AARP/52/2020 del 4 febbraio 2020</w:t>
      </w:r>
    </w:p>
    <w:p>
      <w:pPr>
        <w:pStyle w:val="Heading2"/>
      </w:pPr>
      <w:r>
        <w:t>Erwägungen</w:t>
      </w:r>
    </w:p>
    <w:p>
      <w:r>
        <w:rPr>
          <w:b/>
        </w:rPr>
        <w:t>E. 1.1</w:t>
      </w:r>
    </w:p>
    <w:p>
      <w:r>
        <w:t>L'appel est recevable pour avoir été interjeté et motivé selon la forme et dans les délais prescrits (art. 398 et 399 du Code de procédure pénale, du 5 octobre 2007 [CPP ; RS 312.0]).</w:t>
      </w:r>
    </w:p>
    <w:p>
      <w:r>
        <w:rPr>
          <w:b/>
        </w:rPr>
        <w:t>E. 1.2</w:t>
      </w:r>
    </w:p>
    <w:p>
      <w:r>
        <w:t>La Chambre limite son examen aux violations décrites dans l'acte d'appel (art. 404 al. 1 CPP), sauf en cas de décisions illégales ou inéquitables (art. 404 al. 2 CPP).</w:t>
      </w:r>
    </w:p>
    <w:p>
      <w:r>
        <w:t>La limitation de l'appel repose sur un souci d'économie du procès et d'allègement de la procédure. Après que l'objet de l'appel a été fixé dans la déclaration d'appel, la portée de celui-ci ne peut plus être élargie (arrêt du Tribunal fédéral 6B_1160/2017 du 17 avril 2018 consid. 1.1 et les références ; Message relatif à l'unification du droit de la procédure pénale du 21 décembre 2005, FF 2006 p. 1299).</w:t>
      </w:r>
    </w:p>
    <w:p>
      <w:r>
        <w:t>- 5/10 - P/7258/2019 Cependant, l'appel produit en principe un effet dévolutif complet et confère à la juridiction d'appel un plein pouvoir d'examen lui permettant de revoir la cause librement en fait, en droit et en opportunité (art. 398 al. 2 et 3 CPP). Dans ces circonstances, il y a lieu d'interpréter de manière restrictive les limitations apportées au pouvoir d'examen de l'autorité saisie d'un appel (arrêt du Tribunal fédéral 6B_827/2017 du 25 janvier 2018 consid. 1.1). Les conclusions prises par l'appelant dans son mémoire d'appel, différentes de celles contenues dans sa déclaration préalable, seront donc examinées d'office.</w:t>
      </w:r>
    </w:p>
    <w:p>
      <w:r>
        <w:rPr>
          <w:b/>
        </w:rPr>
        <w:t>E. 2</w:t>
      </w:r>
    </w:p>
    <w:p>
      <w:r>
        <w:t>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2.1.2.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jugement (ATF 142 IV 265 consid. 2.3.1 = JdT 2017 IV 129 ; ATF 141 IV 61 consid. 6.1.2 p. 67 ; ATF 138 IV 113 consid. 3.4.1 p. 115 et les références). Il doit s'agir de peines de même genre (ATF 142 IV 265 consid. 2.3.2 et les références = JdT 2017 IV 129).</w:t>
      </w:r>
    </w:p>
    <w:p>
      <w:r>
        <w:t>- 6/10 - P/7258/2019 Est déterminant, pour l'application de l'art. 49 al. 2 CP, le fait de savoir si les actes délictueux à juger dans le cadre de la deuxième procédure ont été commis avant la première condamnation. Il y a première condamnation dès l'instant où un jugement est prononcé, quand bien même celui-ci n'est pas définitif. Pour déterminer si le tribunal doit prononcer une peine complémentaire, il convient de se référer à la date du jugement antérieur, indépendamment de la date d'un éventuel arrêt sur appel ultérieur (ATF 138 IV 113 consid. 3.4.1 et 3.4.2 ; ATF 129 IV 113 consid. 1.1 et 1.2; R. ROTH / L. MOREILLON (éds), Code pénal I : art. 1-100 CP, Bâle 2009, n. 84 ad art. 49). L'auteur est donc "condamné", au sens de l'art. 49 al. 2 CP, dès l'instant du prononcé du jugement et non pas seulement au moment de son entrée en force ; il faut cependant que cette entrée en force intervienne par la suite (ATF 127 IV 106 consid. 2c). Il s'ensuit que les infractions commises après le prononcé du jugement ne peuvent pas faire l'objet d'une peine complémentaire, mais uniquement d'une peine indépendante, l'idée étant que l'auteur qui commet une infraction punissable après avoir été condamné manifeste une tendance marquée à la délinquance et ne mérite pas d'échapper à un cumul de peines privatives de liberté (ATF 138 IV 113 consid. 3.4.2 ; ATF 129 IV 113 consid. 1.3 ; ATF 109 IV 87 consid. 2a ; ATF 102 IV 242 consid. II.4.a ; ACPR/369/2015 du 3 juillet 2015 consid. 2.1.).</w:t>
      </w:r>
    </w:p>
    <w:p>
      <w:r>
        <w:t>2.2.1. En l'espèce, les faits jugés dans la présente procédure ont été commis avant l'arrêt du 9 octobre 2019, mais après le jugement du 21 mars 2019 non encore entré en force, puisqu'ensuite modifié sur le genre de peine par la CPAR, la culpabilité étant confirmée. Il en découle que lorsqu'il commet les infractions faisant l'objet de la présente procédure, soit du 22 mars 2019 au 2 avril 2019, l'appelant avait déjà fait l'objet d'une condamnation par le tribunal de première instance, de sorte qu'il n'y a pas place pour un concours réel rétrospectif et le prononcé d'une peine complémentaire au sens de l'art. 49 al. 2 CP. 2.2.2. L'appelant ne conteste plus dans sa dernière écriture le genre de peine prononcée en première instance. Les nombreux et spécifiques antécédents, de même que sa situation personnelle qui ne permet pas d'envisager qu'une peine pécuniaire puisse être exécutée, commandent en effet le prononcé d'une peine privative de liberté. La quotité de la peine prononcée ne paraît pas plus critiquable, compte tenu des antécédents spécifiques et répétés de l'appelant, et de la présence d'un concours de deux infractions d'égale gravité, ce même si la période pénale en cause est relativement courte. Il est encore relevé que la jurisprudence relative au délit continu, au demeurant à juste titre pas plaidée, ne trouve pas application dès lors que le maximum d'une année n'est pas atteint, si tant est qu'il puisse être retenu que l'appelant n'a jamais quitté la Suisse.</w:t>
      </w:r>
    </w:p>
    <w:p>
      <w:r>
        <w:t>- 7/10 - P/7258/2019</w:t>
      </w:r>
    </w:p>
    <w:p>
      <w:r>
        <w:rPr>
          <w:b/>
        </w:rPr>
        <w:t>E. 3</w:t>
      </w:r>
    </w:p>
    <w:p>
      <w:r>
        <w:t>L'appelant, qui succombe, supportera les frais de la procédure envers l'État (art. 428 CPP).</w:t>
      </w:r>
    </w:p>
    <w:p>
      <w:r>
        <w:rPr>
          <w:b/>
        </w:rPr>
        <w:t>E. 4.1</w:t>
      </w:r>
    </w:p>
    <w:p>
      <w:r>
        <w:t>Selon l'art. 135 al. 1 CPP, le défenseur d'office ou le conseil juridique gratuit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 En cas d'assujettissement,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Il est admis que l'activité consacrée aux conférences, audiences et autres actes de la procédure soit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4.2</w:t>
      </w:r>
    </w:p>
    <w:p>
      <w:r>
        <w:t>En l’occurrence, l’état de frais produit par le conseil de l’appelant paraît adéquat et conforme aux dispositions et principes qui précèdent, de sorte qu’il sera admis sans en reprendre le détail.</w:t>
      </w:r>
    </w:p>
    <w:p>
      <w:r>
        <w:t>En conclusion, l'indemnité sera arrêtée à CHF 904.70 correspondant à trois heures et trente minutes d'activité au tarif de CHF 200.-/heure plus la majoration forfaitaire de 20% et l'équivalent de la TVA au taux de 7.7% en CHF 64.70. * * * * *</w:t>
      </w:r>
    </w:p>
    <w:p>
      <w:r>
        <w:t>- 8/10 - P/7258/2019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