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AARP/52/2016 vom 9. Februar 2016</w:t>
      </w:r>
    </w:p>
    <w:p>
      <w:r>
        <w:t>GE Cour de justice, 2016-02-09, FR</w:t>
      </w:r>
    </w:p>
    <w:p>
      <w:r>
        <w:rPr>
          <w:b/>
        </w:rPr>
        <w:t xml:space="preserve">Quelle: </w:t>
      </w:r>
      <w:r>
        <w:t>https://mcp.opencaselaw.ch/entscheid/ge_gerichte_AARP_52_2016</w:t>
      </w:r>
    </w:p>
    <w:p>
      <w:r>
        <w:t>FR: GE_GERICHTE AARP/52/2016 du 9 février 2016</w:t>
      </w:r>
    </w:p>
    <w:p>
      <w:r>
        <w:t>IT: GE_GERICHTE AARP/52/2016 del 9 febbraio 2016</w:t>
      </w:r>
    </w:p>
    <w:p>
      <w:pPr>
        <w:pStyle w:val="Heading2"/>
      </w:pPr>
      <w:r>
        <w:t>Erwägungen</w:t>
      </w:r>
    </w:p>
    <w:p>
      <w:r>
        <w:rPr>
          <w:b/>
        </w:rPr>
        <w:t>E. 29</w:t>
      </w:r>
    </w:p>
    <w:p>
      <w:r>
        <w:t>septembre 2015. Leur durée moyenne étant de 25 minutes, le forfait d'une heure suffisait amplement. d. Invité, par missive du 5 novembre 2015, à répliquer lors des débats appointés le 12 suivant, Me A______ y a renoncé.</w:t>
      </w:r>
    </w:p>
    <w:p>
      <w:r>
        <w:t>- 5/18 - P/9529/2014 e.a. Me A______ dépose sa note de frais et honoraires pour l'activité déployée dans le cadre de son appel contre la décision d'indemnisation, qu'il arrête à une heure, respectivement 30 minutes. S'y ajoute une partie du temps consacré à la rédaction de la déclaration d'appel portant également sur ce volet. e.b. S'agissant de l'activité déployée dans le cadre de la défense de son client lors de la procédure d'appel au fond, Me A______ la chiffre à 16 heures et 5 minutes effectuées par lui-même en tant que chef d'étude, ainsi que par ses avocats collaborateur et stagiaire. Sont notamment comptabilisées 6 heures d'entretien avec le client à la prison (4 heures et 30 minutes effectuées par le collaborateur, le solde par le stagiaire), 2 heures et 5 minutes d'étude juridique du dossier (une heure et</w:t>
      </w:r>
    </w:p>
    <w:p>
      <w:r>
        <w:rPr>
          <w:b/>
        </w:rPr>
        <w:t>E. 30</w:t>
      </w:r>
    </w:p>
    <w:p>
      <w:r>
        <w:t>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CPAR estime, en outre, justifié de tenir compte de l'ensemble de l'activité pour arrêter la majoration forfaitaire à 10 ou 20% ; le fait qu'une décision de taxation intervienne séparément</w:t>
      </w:r>
    </w:p>
    <w:p>
      <w:r>
        <w:t>- 13/18 - P/9529/2014 pour l'activité antérieure à sa saisine n'a pas de pertinence, cette circonstance n'ayant aucune influence sur la quantité de travail effectué par l'avocat en deuxième instance. 3.2.2. Les communications et courriers divers sont en principe inclus dans le forfait (AARP/326/2015 du 16 juillet 2015 ; AARP/193/2015 du 27 avril 2015) de même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3.2.3.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 du 27 juillet 2015), contrairement au cas où un examen plus poussé s'imposait, notamment aux fins de déterminer l'opportunité d'un recours au plan cantonal. 3.3. Les séances internes entre le défenseur d'office et son stagiaire, par exemple, ne sont pas indemnisées par l'assistance juridique (AARP/307/2014 du 2 juillet 2014 ; AARP/20/2014 du 7 janvier 2014). 3.4.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 3.5. Il faut tenir compte, pour apprécier le temps adéquat pour la préparation de l'audience de jugement ou d'appel, des circonstances du cas, notamment du temps déjà précédemment passé sur le dossier (AARP/198/2015 du 31 mars 2015 ; AARP/433/2014 du 7 octobre 2014). 3.6.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 stagiaires, ce qui comprend le temps de déplacement.</w:t>
      </w:r>
    </w:p>
    <w:p>
      <w:r>
        <w:t>- 14/18 - P/9529/2014 3.7.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4. De la taxation de l'activité déployée en procédures d'instruction et de première instance 4.1. En ce qui concerne les réductions opérées au poste "conférence", Me A______ remet en cause la pratique consistant à indemniser différemment le temps de visite à un détenu selon la qualification de l'avocat, à savoir s'il est breveté (une heure et 30 minutes) ou stagiaire (une heure). Cette pratique repose sur un postulat qui n'a guère changé depuis sa mise en œuvre, à savoir le fait que les avocats stagiaires, de par leur statut, ne subissent pas de perte de gain ni n'en font subir à leurs maîtres de stage. Il est par ailleurs notoire que les avocats, peu importe leur statut, visitent plusieurs détenus en même temps, mais que la réduction de leur temps de déplacement n'est pas systématiquement répercutée dans l'état de frais de chaque dossier. A contrario, l'appelant n'avance aucun argument propre à remettre en cause ladite pratique. Il n'y a, dès lors, pas lieu de s'en éloigner, étant précisé que le Tribunal correctionnel a fait preuve de générosité en indemnisant, en plus d'une visite par mois, celles préalables ou consécutives à une audience. Par conséquent, le bien-fondé des réductions opérées, soit l'imputation de 30 minutes sur l'heure et demie systématiquement facturée pour les visites du stagiaire et</w:t>
      </w:r>
    </w:p>
    <w:p>
      <w:r>
        <w:t>- 15/18 - P/9529/2014 l'exclusion de certaines visites dépassant le ratio admissible, ne saurait être remis en cause. Dans sa jurisprudence, la CPAR a toujours considéré que les séances internes, notamment entre le défenseur d'office et d'autres avocats de l'étude comme le stagiaire, n'ont pas à être prises en charge par l'assistance juridique, de sorte que les réductions y relatives étaient opportunes. Enfin, l'imputation opérée au poste "procédure", qui n'est pas formellement critiquée, était bien fondée ; la rédaction d'une note interne étant une tâche couverte par le forfait pour l'activité diverse. En définitive, aucune des réductions contestées ne prête flanc à la critique et la décision entreprise sera confirmée. L'appel formé par Me A______ sera donc rejeté. 4.2.1. A teneur de son état de frais, l'appelant sollicite l'octroi de dépens dans le cadre de son appel. Il sied toutefois de regretter qu'il n'ait pris aucune conclusion à ce propos, sans que cela ne prétérite toutefois sa situation vu les éléments ci-dessous. 4.2.2.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 arrêt du Tribunal fédéral 6B_439/2012 du 2 octobre 2012 consid. 2). 4.2.3. L'appelant ayant succombé intégralement en l'espèce, il sera débouté de sa requête en versement de dépens. 5. De la taxation de l'activité déployée en procédure d'appel En ce qui concerne l'activité déployée devant la juridiction d'appel, seul un entretien avec le client (une heure et 30 minutes au tarif du collaborateur) sur les deux effectués avant la saisine de la juridiction d'appel au mois de juillet 2015 sera pris en charge par l'assistance juridique. Il n'y a pas lieu de s'éloigner du ratio d'une visite par mois, précision faite qu'une seule entrevue aurait dû suffire au défenseur d'office pour discuter de l'opportunité d'un appel avec son client. En outre, une heure et 5 minutes sur les deux dédiées à "l'examen du dossier" ne sera pas indemnisée, le reliquat étant une durée suffisante aux fins d'évaluer l'opportunité d'un appel et de déterminer la stratégie de défense en fonction des éléments du dossier connus du chef d'étude déjà intervenu en première instance. Il en va de même</w:t>
      </w:r>
    </w:p>
    <w:p>
      <w:r>
        <w:t>- 16/18 - P/9529/2014 des trois heures consacrées à la rédaction de la déclaration d'appel, ainsi qu'à des recherches juridiques, la première de ces activités étant couverte par le forfait pour l'activité diverse, la seconde n'étant pas prise en charge, dès lors qu'aucune question juridique complexe ne se posait en l'espèce. Le temps affecté à la préparation de l'audience d'appel ne remplit également pas le critère de la nécessité. Vu les caractéristiques de la cause connues du défenseur d'office et la durée de la plaidoirie, seules trois heures seront taxées. Le temps consacré par le collaborateur à l'assistance à l'audience d'appel (une heure et 15 minutes) sera ajouté, ainsi que le forfait déplacement y relatif. Par voie de conséquence, l'état de frais, après les réductions qui précèdent, est admis à concurrence d'une heure, respectivement 8 heures et 45 minutes, d'activité de chef d'étude et de collaborateur, soit en totalité de 9 heures et 45 minutes. L'indemnité y relative sera arrêtée à CHF 1'572.- (majoration forfaitaire de 10% [CHF 129.40], l'équivalent de la TVA au taux de 8% [CHF 113.85] et les frais de déplacement [CHF 35.-] inclus). 6. L'appelant, qui succombe, sera condamné aux frais de la procédure d'appel, comprenant un émolument de CHF 1'000.- (art. 428 CPP et 14 al. 1 let. b RTFMP). L'indemnité due à l'appelant pour l'activité déployée lors de la procédure d'appel est, par ailleurs, taxée sans frais. * * * * *</w:t>
      </w:r>
    </w:p>
    <w:p>
      <w:r>
        <w:t>- 17/18 - P/9529/2014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