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AARP/527/2015 vom 15. Dezember 2015</w:t>
      </w:r>
    </w:p>
    <w:p>
      <w:r>
        <w:t>GE Cour de justice, 2015-12-15, FR</w:t>
      </w:r>
    </w:p>
    <w:p>
      <w:r>
        <w:rPr>
          <w:b/>
        </w:rPr>
        <w:t xml:space="preserve">Quelle: </w:t>
      </w:r>
      <w:r>
        <w:t>https://mcp.opencaselaw.ch/entscheid/ge_gerichte_AARP_527_2015</w:t>
      </w:r>
    </w:p>
    <w:p>
      <w:r>
        <w:t>FR: GE_GERICHTE AARP/527/2015 du 15 décembre 2015</w:t>
      </w:r>
    </w:p>
    <w:p>
      <w:r>
        <w:t>IT: GE_GERICHTE AARP/527/2015 del 15 dicembre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- 5/10 - P/7647/2015</w:t>
      </w:r>
    </w:p>
    <w:p>
      <w:r>
        <w:t>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Le séjour illégal étant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2.1.2. C______ est un pays qui n'accepte pas le retour de ses ressortissants par vols spéciaux (cf. Rapport du Conseil fédéral du 30 octobre 2012 en réponse au postulat du Conseiller national Hugues Hiltpold [11.3689], migration en provenance de pays nord-africains [et du Yémen], situation en Suisse). Aussi, et pour autant que l'intéressé n'entend pas lui-même coopérer à son retour, aucune démarche supplémentaire ne peut être exigée des autorités administratives dès lors que l'organisation d'un vol spécial est exclue (arrêt du Tribunal fédéral 6B_525/2014 du 9 octobre 2014 consid. 1.2.).</w:t>
      </w:r>
    </w:p>
    <w:p>
      <w:r>
        <w:rPr>
          <w:b/>
        </w:rPr>
        <w:t>E. 2.2</w:t>
      </w:r>
    </w:p>
    <w:p>
      <w:r>
        <w:t>La Directive sur le retour,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État membre, du chef de séjour illégal. Seul le type de sanction susceptible d'être infligé est limité.</w:t>
      </w:r>
    </w:p>
    <w:p>
      <w:r>
        <w:rPr>
          <w:b/>
        </w:rPr>
        <w:t>E. 2.3</w:t>
      </w:r>
    </w:p>
    <w:p>
      <w:r>
        <w:t>L'appelant a séjourné illégalement sur le territoire suisse du 22 juillet 2014 au 19 avril 2015. Il était dépourvu des autorisations nécessaires et sous le coup d'une interdiction de séjour valable, dont il ne conteste plus qu'elle lui a été notifiée. L'appelant n'étant pas un demandeur d'asile, ce qu'il n'allègue au demeurant pas, le système Dublin ne lui est pas applicable (cf. Accord entre la Confédération suisse et</w:t>
      </w:r>
    </w:p>
    <w:p>
      <w:r>
        <w:t>- 6/10 - P/7647/2015 la Communauté européenne relatif aux critères et aux mécanismes permettant de déterminer l'État responsable de l'examen d'une demande d'asile introduite dans un État membre ou en Suisse – RS 0.142.392.68). Par ailleurs, une procédure de refoulement a été tentée sans succès et une décision de renvoi est exécutoire. Compte tenu de la nationalité du recourant, aucun vol contraint de retour n'est envisageable. Il apparaît ainsi qu'aucune démarche supplémentaire ne peut être exigée des autorités administratives. Le recourant ne compte pas lui-même coopérer à son expulsion, dans la mesure où il fait état d'un projet de mariage, peu crédible par ailleurs, en H______ ou au F______. Il n'entend donc définitivement pas se conformer aux décisions administratives prises à son encontre, la décision de renvoi étant élargie à l'espace Schengen. Les allégations de l'appelant selon lesquelles il risquerait une longue peine d'emprisonnement s'il retournait dans son pays ne sont pas étayées et n'ont, du reste, été exprimées qu'au stade du jugement de première instance. L'appelant ne peut donc se prévaloir d'aucun motif justificatif. Dans ces circonstances, la reconnaissance de culpabilité de l'appelant pour séjour illégal sera confirmée.</w:t>
      </w:r>
    </w:p>
    <w:p>
      <w:r>
        <w:rPr>
          <w:b/>
        </w:rPr>
        <w:t>E. 3</w:t>
      </w:r>
    </w:p>
    <w:p>
      <w:r>
        <w:t>3.1.1. L'infraction à l'art. 115 al. 1 let. b LEtr étant un délit continu, les peines prononcées de ce chef dans plusieurs procédures ne peuvent dépasser la peine maximale arrêtée par cette disposition (ATF 135 IV 6 consid. 4.2 p. 11 ; arrêt du Tribunal fédéral 6B_1226/2013, consid. 1.1).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w:t>
      </w:r>
    </w:p>
    <w:p>
      <w:r>
        <w:t>- 7/10 - P/7647/2015 Lorsque le pronostic est défavorable et que, par conséquent, un sursis est exclu, il convient de déterminer si une peine pécuniaire, respectivement un travail d'intérêt général, peuvent être exécutés. 3.1.3.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3.1.4. La CJUE ayant précisé que si la Directive sur le retour ne s'oppose pas à une condamnation à une peine pécuniaire réprimant le séjour irrégulier d'un ressortissant d'État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w:t>
      </w:r>
    </w:p>
    <w:p>
      <w:r>
        <w:rPr>
          <w:b/>
        </w:rPr>
        <w:t>E. 3.2</w:t>
      </w:r>
    </w:p>
    <w:p>
      <w:r>
        <w:t>L'appelant ne conteste pas le principe de sa condamnation à une peine privative de liberté, ni sa quotité. Au vu de sa situation précaire et de ses antécédents, une peine avec sursis ne semble pas apte à le détourner de commettre d'autres infractions, de sorte que seule une peine ferme est envisageable. Son statut administratif empêche sa condamnation à un travail d'intérêt général et les peines pécuniaires précédemment prononcées n'ont pas eu l'effet dissuasif escompté. Dans la mesure où les autorités administratives ont mené, sans succès, une procédure de renvoi, la Directive sur le retour n'empêche pas le prononcé d'une peine privative de liberté. Au vu de l'ensemble des circonstances, le prononcé d'une telle peine d'une quotité de 45 jours est équitable, ce d’autant que le premier juge a renoncé à révoquer la libération conditionnelle précédemment octroyée. Le présent séjour illégal ne relevant pas d'une intention délictuelle différente des cas précédents, la quotité de la peine privative de liberté doit être fixée à teneur de la jurisprudence du Tribunal fédéral en tenant compte des peines déjà subies par l'appelant en raison d'infractions à la LEtr. Jusqu'à présent, la somme des peines infligées à l'appelant dans les cas où un séjour illégal était, entre autres, reproché s'élève à 300 jours, peine pécuniaire ou privative de liberté confondues. Aussi, la présente peine de 45 jours reste dans le cadre de la limite supérieure d'une année. Le jugement querellé sera par conséquent intégralement confirmé.</w:t>
      </w:r>
    </w:p>
    <w:p>
      <w:r>
        <w:t>- 8/10 - P/7647/2015</w:t>
      </w:r>
    </w:p>
    <w:p>
      <w:r>
        <w:rPr>
          <w:b/>
        </w:rPr>
        <w:t>E. 4</w:t>
      </w:r>
    </w:p>
    <w:p>
      <w:r>
        <w:t>Vu l'issue de la procédure, l'appelant sera débouté de ses conclusions en indemnisation (art. 429 CPP).</w:t>
      </w:r>
    </w:p>
    <w:p>
      <w:r>
        <w:rPr>
          <w:b/>
        </w:rPr>
        <w:t>E. 5</w:t>
      </w:r>
    </w:p>
    <w:p>
      <w:r>
        <w:t>L'appelant, qui succombe, sera condamné aux frais de la procédure d'appel, qui comprennent un émolument de jugement de CHF 1'500.- (art. 428 CPP et 14 al. 1 du règlement fixant le tarif des frais en matière pénale du 22 décembre 2010 [RTFMP ;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6.2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6.3</w:t>
      </w:r>
    </w:p>
    <w:p>
      <w:r>
        <w:t>En l'occurrence, considéré dans sa globalité, l'état de frais produit par le défenseur d'office de l'appelant paraît adéquat et conforme aux principes développé en application de l'art. 135 CPP et de l'art. 16 RAJ, de sorte qu'il n'est pas nécessaire de reprendre le détail des postes qui le composent. Aussi, l'indemnité requise de CHF 720.- plus la TVA au taux de 8% en CHF 57.60 sera-t-elle allouée. * * * * *</w:t>
      </w:r>
    </w:p>
    <w:p>
      <w:r>
        <w:t>- 9/10 - P/7647/2015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