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AARP/523/2015 vom 24. November 2015</w:t>
      </w:r>
    </w:p>
    <w:p>
      <w:r>
        <w:t>GE Cour de justice, 2015-11-24, FR</w:t>
      </w:r>
    </w:p>
    <w:p>
      <w:r>
        <w:rPr>
          <w:b/>
        </w:rPr>
        <w:t xml:space="preserve">Quelle: </w:t>
      </w:r>
      <w:r>
        <w:t>https://mcp.opencaselaw.ch/entscheid/ge_gerichte_AARP_523_2015</w:t>
      </w:r>
    </w:p>
    <w:p>
      <w:r>
        <w:t>FR: GE_GERICHTE AARP/523/2015 du 24 novembre 2015</w:t>
      </w:r>
    </w:p>
    <w:p>
      <w:r>
        <w:t>IT: GE_GERICHTE AARP/523/2015 del 24 novembre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 arrêt du Tribunal fédéral 6B_95/2010 du 17 mai 2010 consid. 1.2). La seconde hypothèse vise le cas où l'auteur se trouve déjà dans les lieux et qu'il n'y a pas pénétré contre la volonté de l'ayant droit. L'infraction est alors commise lorsque l'auteur ne quitte pas les lieux, malgré l'ordre intimé en ce sens par l'ayant droit (B. CORBOZ, Les infractions en droit suisse, volume I, 3e édition, Berne 2010, n. 21 ad art. 186). Selon la jurisprudence, la notion de domicile doit être comprise de manière large et vise non seulement les habitations au sens commun, mais également les fabriques, les centres commerciaux et les bâtiments administratifs (ATF 108 IV 33 consid. 5a</w:t>
      </w:r>
    </w:p>
    <w:p>
      <w:r>
        <w:t>- 8/17 - P/15938/2012 p. 39), étant précisé que dès que l'espace est clos, il n'est pas nécessaire qu'il soit verrouillé (ATF 90 IV 74 consid. 2a). L'art. 186 CP protège également un bâtiment vide (ATF 118 IV 167 consid. 3).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(V.DELNON/B.RÜDY, Basler Kommentar Strafrecht II, 3ème éd., Bâle 2013, n° 19 ad art. 186 CP). L'infraction est consommée dès que l'auteur s'introduit dans le domaine clos sans l'autorisation de celui qui a le pouvoir d'en disposer (ATF 128 IV 81 consid. 4a p. 85 ; 108 IV 33 consid. 5b p. 39). L'auteur doit encore agir de manière illicite. L'illicéité de l'acte implique que l'auteur s'oppose à la volonté de l'ayant droit. Elle fait défaut lorsque ce dernier donne son accord ou si l'auteur est au bénéfice d'un motif justificatif (ATF 83 IV 154 consid. 1 p. 157).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n° 45 ss ad art. 186 CP). 2.1.2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w:t>
      </w:r>
    </w:p>
    <w:p>
      <w:r>
        <w:t>- 9/17 - P/15938/2012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6</w:t>
      </w:r>
    </w:p>
    <w:p>
      <w:r>
        <w:t>A______, B______, E______ et F______, qui succombent intégralement, et les appelants C______ et D______, qui succombent en majeure partie, supporteront respectivement 1/6 et 1/12 des frais de la procédure d'appel qui comprennent un émolument de CHF 1'000.- (art. 428). * * * * *</w:t>
      </w:r>
    </w:p>
    <w:p>
      <w:r>
        <w:t>- 15/17 - P/15938/2012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