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AARP/522/2015 vom 28. November 2015</w:t>
      </w:r>
    </w:p>
    <w:p>
      <w:r>
        <w:t>GE Cour de justice, 2015-11-28, FR</w:t>
      </w:r>
    </w:p>
    <w:p>
      <w:r>
        <w:rPr>
          <w:b/>
        </w:rPr>
        <w:t xml:space="preserve">Quelle: </w:t>
      </w:r>
      <w:r>
        <w:t>https://mcp.opencaselaw.ch/entscheid/ge_gerichte_AARP_522_2015</w:t>
      </w:r>
    </w:p>
    <w:p>
      <w:r>
        <w:t>FR: GE_GERICHTE AARP/522/2015 du 28 novembre 2015</w:t>
      </w:r>
    </w:p>
    <w:p>
      <w:r>
        <w:t>IT: GE_GERICHTE AARP/522/2015 del 28 novembre 2015</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w:t>
      </w:r>
    </w:p>
    <w:p>
      <w:r>
        <w:t>- 9/17 - P/20790/2010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pouvoir d'appréciation étendu dans l'appréciation des preuves (ATF 120 Ia 31). Lorsqu'il est confronté à des versions contradictoires, il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w:t>
      </w:r>
    </w:p>
    <w:p>
      <w:r>
        <w:rPr>
          <w:b/>
        </w:rPr>
        <w:t>E. 2.2</w:t>
      </w:r>
    </w:p>
    <w:p>
      <w:r>
        <w:t>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(cf. ATF 106 IV 12 consid. 2a p. 14 ; 104 IV 232 consid. c p. 236/237). Cette condition n'est pas réalisée lorsque l'attaque a cessé ou qu'il n'y a pas encore lieu de s'y attendre (ATF 93 IV 83). Une attaque n'est cependant pas achevée aussi longtemps que le risque d'une nouvelle atteinte ou d'une aggravation de celle-ci par l'assaillant reste imminent (ATF 102 IV 1 consid. 2b p. 4/5). Il faut toutefois que des signes concrets annonçant un danger incitent à la défense. Tel est notamment le cas lorsque l'agresseur adopte un comportement menaçant, se prépare au combat ou effectue des gestes qui donnent à le penser (ATF 93 IV 83/84).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(ATF 93 IV 83). Celui qui invoque un fait justificatif susceptible d'exclure sa culpabilité ou de l'amoindrir doit en rapporter la preuve, car il devient lui-même demandeur en opposant une exception à l'action publique. Si une preuve stricte n'est pas exigée,</w:t>
      </w:r>
    </w:p>
    <w:p>
      <w:r>
        <w:t>- 10/17 - P/20790/2010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 Genève/Bâle/ Zurich 2011, n. 555, p. 189).</w:t>
      </w:r>
    </w:p>
    <w:p>
      <w:r>
        <w:rPr>
          <w:b/>
        </w:rPr>
        <w:t>E. 3.1</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w:t>
      </w:r>
    </w:p>
    <w:p>
      <w:r>
        <w:rPr>
          <w:b/>
        </w:rPr>
        <w:t>E. 3.2</w:t>
      </w:r>
    </w:p>
    <w:p>
      <w:r>
        <w:t>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LP ; ATF 121 IV 272 consid. 3c p. 277). Le débiteur ne peut pas choisir de payer d'autres dettes en dehors de ce qui entre dans la détermination de son minimum vital (arrêt du Tribunal fédéral 6S.208/2004 du 19 juillet 2004 consid. 2.1.). Le débiteur ne peut se libérer valablement qu'en versant la contribution en mains du bénéficiaire ou, s'il s'agit d'un enfant mineur, en mains du représentant légal de l'enfant (SJ 1995 p. 519/520). On ne peut reprocher à l'auteur d'avoir violé son obligation d'entretien que s'il avait les moyens de la remplir, ou aurait pu les avoir (arrêt du Tribunal fédéral 6B_509/2008 du 29 août 2008 consid. 2.1). Pour que l'infraction sanctionnée par l'art. 217 CP soit objectivement réalisée, le débiteur doit avoir disposé des moyens matériels pour verser tout ou partie des aliments impayés (ATF 101 IV 52; 76 IV 109; 73 IV 178; BJP 1987 no 187) - dont le paiement revêt un caractère prioritaire</w:t>
      </w:r>
    </w:p>
    <w:p>
      <w:r>
        <w:t>- 11/17 - P/20790/2010 par rapport au règlement d'autres dettes - ou s'être mis dans une situation l'empêchant de le faire (FF 1985 II 1070; ATF 126 IV 131 = JdT 2001 IV 55). Commet ainsi l'infraction non seulement le débiteur défaillant qui avait les moyens de s'acquitter des aliments dus, mais également celui qui, ne disposant pas de tels moyens, a renoncé sans raison à réaliser des gains ou à recevoir des prestations de droit public, celui qui aurait pu changer de profession ou augmenter son temps de travail pour accroître ses revenus (ATF 114 IV 124 consid. 3b ; U. BRODER, Delikte gegen die Familie, RPS 1992, 304-305), ou encore celui qui, étant en mesure de verser à tout le moins une partie des aliments dus, s'en est consciemment abstenu sans motif suffisant (ATF 101 IV 52; 76 IV 109; 73 IV 178; BJP 1987 n° 187).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in JT 2001 IV 55). Lorsque la situation est claire en fait et en droit et que le débiteur n'a fourni aucune prestation ou une prestation manifestement dérisoire, on peut admettre sans difficulté qu'il a violé son obligation d'entretien (B. CORBOZ, Les infractions en droit suisse, Berne, 2010, n. 13 ad art. 217. Lorsque la quotité de la contribution d'entretien a été fixée dans le dispositif d'un jugement civil valable et exécutoire, le juge pénal appelé à statuer en application de l'art. 217 CP est lié par ce montant (ATF 106 IV 36 ; arrêt du Tribunal fédéral 6B_608/2014 du 6 janvier 2015 consid. 1.1). Sur le plan subjectif, l'infraction réprimée par l'art. 217 CP doit être commise intentionnellement (ATF 70 IV 166,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 (ATF 128 IV 86 consid. 2b p. 90). 3.3.1 Faits constitutifs de lésions corporelles L'appelant, qui avait commencé par être dans le déni, a fini par admettre par bribes la réalité des faits relatés par l'intimée dans sa plainte pénale. La seule saisie du bras a laissé la place à une poussée par réaction au cours de laquelle il l'avait saisie par les poignets et plaquée contre le mur. Finalement, l'évocation d'une prise par la gorge n'était pas à écarter ainsi que l'existence d'une blessure aux poignets quand il l'avait saisie pour la repousser. Le récit auquel l'appelant a consenti au gré des audiences correspond à l'épisode de violence évoqué par la partie plaignante, sinon le coup de genou au bas-ventre absent</w:t>
      </w:r>
    </w:p>
    <w:p>
      <w:r>
        <w:t>- 12/17 - P/20790/2010 de son discours. L'appelant n'en est manifestement pas à son coup d'essai, lui qui a cherché dans un premier temps à occulter la réalité de violences antérieures avant d'admettre leur existence, tout en cherchant à rejeter la faute sur son épouse. Les violences décrites par l'intimée sont étayées par un certificat médical qui les valide, sous réserve de l'acte par lequel l'appelant est accusé d'avoir serré violemment le cou de l'intimée. L'explication selon laquelle la victime aurait la peau qui marque rapidement n'est guère probante dans ces circonstances. De la même manière, les allusions à un complot à ramifications internationales ou à un coup monté ne servent qu'à masquer sa culpabilité. L'appelant ne peut invoquer la légitime défense, contrairement à ce qu'il laisse entendre. Il a en effet nié à la police que son épouse ait exercé des menaces à son égard, même dans l'hypothèse où elle aurait brandi le fer à repasser face à lui, avant de revenir sur ces faits dans son courrier du 10 juillet 2014. Un motif de rejet de la circonstance atténuante tient à l'absence d'attaque de la part de son épouse. Certes, l'appelant se plaint d'une morsure dont, de manière surprenante, il ne parle pas à la police. Son discours est ensuite ambivalent, déclarant tour à tour avoir été victime du défaut de réaction de la police puis ne pas vouloir faire d'histoires, s'étant employé à guérir seul sa plaie. En tout état, l'absence de tout constat médical nuit à la crédibilité de ses allégations en la matière. Enfin, l'appelant sera débouté de sa demande de production des enregistrements de la police pour des motifs formels d'abord, la requête formulée en audience d'appel étant manifestement tardive. Elle est inopérante au fond, la police n'étant pas l'autorité appelée à apprécier les faits dont elle est nantie, ce privilège appartenant aux autorités de jugement. Au vu de ce qui précède, le jugement du Tribunal de police sera confirmé sur ce premier point. 3.3.2 Faits constitutifs de violation d'obligation d'entretien L'appelant fait grand cas d'une détérioration de sa situation financière qui aurait pour effet d'altérer sa capacité à faire face à ses obligations en matière d'obligation d'entretien. C'est oublier que la Cour d'Appel de Bucarest, dans un arrêt de fin 2014, a infirmé cette hypothèse, les montants que l'appelant a été condamné à verser étant sensiblement similaires à ceux décidés en 2012 par les autorités de jugement genevoises. L'absence de liquidités dont se prévaut l'appelant est mise à mal par la réalité des faits. La propriété qu'il exerce sur plusieurs biens immobiliers aurait dû lui permettre, pour autant qu'il l'ait voulu, de dégager des moyens propres à satisfaire ses</w:t>
      </w:r>
    </w:p>
    <w:p>
      <w:r>
        <w:t>- 13/17 - P/20790/2010 obligations d'entretien. La vente effectuée sur un bien acquis pendant le mariage en est la preuve, la vente ayant rapporté plusieurs dizaines de milliers d'euros. Si l'appelant était réellement dans une situation financière à tel point obérée qu'elle le placerait dans une incapacité de faire face à ses obligations alimentaires, il n'aurait pas attendu 2015 pour envisager une action en justice. Le motif avancé pour ne rien entreprendre, à la fois dérisoire et futile, ne coïncide pas avec les éléments figurant au dossier qui témoignent d'une capacité financière qui n'a rien de désastreuse. En définitive, tout pousse à penser que l'appelant s'est persuadé que le versement régulier d'une somme de EUR 200.- suffisait aux besoins de la créancière. L'appelant use dès lors de tous les prétextes pour organiser son insolvabilité, en espérant échapper ainsi aux foudres de la justice qu'il noie sous une masse de documents dont il espère tirer profit. Ce faisant, il place les membres de sa famille, dont ses propres enfants, dans une situation délicate s'ils devaient quitter le logement familial faute de paiement de la dette hypothécaire. La réalité tient à une capacité financière suffisante de l'appelant, tant au titre d'actionnaire unique d'une société dont il a hérité qu'à celui de propriétaire de nombreux biens immobiliers, dont la réalisation d'une partie seulement aurait permis de faire face à ses obligations alimentaires. L'appelant a au contraire démontré sa volonté de ne pas s'acquitter de ses obligations, bien qu'il en soit capable au regard de sa situation financière qui n'est pas aussi dégradée qu'il veut bien le faire croire. Aussi le jugement du Tribunal de police sera-t-il également confirmé sur ce point.</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- 14/17 - P/20790/2010 (ATF 134 IV 17 consid. 2.1 p. 19 ss ; 129 IV 6 consid. 6.1 p. 20 ss ; arrêt du Tribunal fédéral 6B_660/2013 du 19 novembre 2013 consid. 2.2).</w:t>
      </w:r>
    </w:p>
    <w:p>
      <w:r>
        <w:rPr>
          <w:b/>
        </w:rPr>
        <w:t>E. 4.2</w:t>
      </w:r>
    </w:p>
    <w:p>
      <w:r>
        <w:t>L'appelant n'a pas contesté la peine qui lui a été infligée par le Tribunal de police, dans son genre, sa quotité ou dans le montant du jour-amende. De la même manière, il n'a pas dit un mot sur le principe d'une amende en guise de sanction immédiate. L'examen des critères légaux pour la fixation de la peine conduit la CPAR à confirmer le jugement du premier juge sur ce point, dans la mesure où le Tribunal a correctement appliqué les dispositions légales topiques, privilégiant à juste titre la peine pécuniaire à la peine privative de liberté et prenant pour un fait acquis la faible prise de conscience de l'appelant pour justifier le prononcé d'une sanction immédiate. Le sursis est acquis à l'appelant, faute d'appel du Ministère public, en application du principe de l'interdiction de la reformatio in peius.</w:t>
      </w:r>
    </w:p>
    <w:p>
      <w:r>
        <w:rPr>
          <w:b/>
        </w:rPr>
        <w:t>E. 5</w:t>
      </w:r>
    </w:p>
    <w:p>
      <w:r>
        <w:t>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w:t>
      </w:r>
    </w:p>
    <w:p>
      <w:r>
        <w:t>La partie plaignante a obtenu gain de cause au sens de cette norme lorsque le prévenu a été condamné et/ou si les prétentions civiles sont été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La juste indemnité, notion qui laisse un large pouvoir d'appréciation au juge, couvre les dépenses et les frais nécessaires et adéquats pour faire valoir le point de vue de la partie plaignante raisonnable, à l'exclusion de toutes démarches inutiles ou superflues (arrêt du Tribunal fédéral 6B_159/2012 du 22 juin 2012 consid. 2.2 ; A. KUHN / Y. JEANNERET (éds), Commentaire romand : Code de procédure pénale suisse, Bâle 2011, n. 8 ad art. 433 ; N. SCHMID, op. cit., n. 3 ad art. 433).</w:t>
      </w:r>
    </w:p>
    <w:p>
      <w:r>
        <w:t>La Cour de justice applique, en matière d'honoraires d'avocat, un tarif horaire de CHF 450.- (ACPR/112/2014 du 26 février 2014, renvoyant au tarif "usuel" de CHF 400.- ressortant de la SJ 2012 I 175 ; ACPR/279/2014 du 27 mai 2014) ou de CHF 400.- (ACPR/282/2014 du 30 mai 2014), notamment si l'avocat concerné avait lui-même calculé sa prétention à ce taux-là (ACPR/377/2013 du 13 août 2013 ; ACPR/302/2014 du 18 juin 2014).</w:t>
      </w:r>
    </w:p>
    <w:p>
      <w:r>
        <w:t>En conclusion, l'indemnité sera arrêtée à CHF 2'133.30 correspondant à 5 heures et 40 minutes d'activité au tarif de CHF 400.- l'heure, l'audience ayant durée deux et</w:t>
      </w:r>
    </w:p>
    <w:p>
      <w:r>
        <w:t>- 15/17 - P/20790/2010 non une heure comme projeté par le conseil. Il y a lieu d'ajouter à ce montant l'équivalent de la TVA au taux de 8% [CHF 170.65], ce qui porte les honoraires dus par l'appelant à CHF 2'303.95.</w:t>
      </w:r>
    </w:p>
    <w:p>
      <w:r>
        <w:rPr>
          <w:b/>
        </w:rPr>
        <w:t>E. 6</w:t>
      </w:r>
    </w:p>
    <w:p>
      <w:r>
        <w:t>L'appelant, qui succombe, supportera également les frais de la procédure envers l'État (art. 428 CPP). * * * * *</w:t>
      </w:r>
    </w:p>
    <w:p>
      <w:r>
        <w:t>- 16/17 - P/20790/2010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