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AARP/521/2013 vom 29. Oktober 2013</w:t>
      </w:r>
    </w:p>
    <w:p>
      <w:r>
        <w:t>GE Cour de justice, 2013-10-29, FR</w:t>
      </w:r>
    </w:p>
    <w:p>
      <w:r>
        <w:rPr>
          <w:b/>
        </w:rPr>
        <w:t xml:space="preserve">Quelle: </w:t>
      </w:r>
      <w:r>
        <w:t>https://mcp.opencaselaw.ch/entscheid/ge_gerichte_AARP_521_2013</w:t>
      </w:r>
    </w:p>
    <w:p>
      <w:r>
        <w:t>FR: GE_GERICHTE AARP/521/2013 du 29 octobre 2013</w:t>
      </w:r>
    </w:p>
    <w:p>
      <w:r>
        <w:t>IT: GE_GERICHTE AARP/521/2013 del 29 ottobre 2013</w:t>
      </w:r>
    </w:p>
    <w:p>
      <w:pPr>
        <w:pStyle w:val="Heading2"/>
      </w:pPr>
      <w:r>
        <w:t>Erwägungen</w:t>
      </w:r>
    </w:p>
    <w:p>
      <w:r>
        <w:rPr>
          <w:b/>
        </w:rPr>
        <w:t>E. 1.1</w:t>
      </w:r>
    </w:p>
    <w:p>
      <w:r>
        <w:t>Selon l'arrêt 6B_158/2013 du Tribunal fédéral du 25 avril 2013, consid. 2.1, la procédure en libération conditionnelle n'est pas directement régie par le CPP,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w:t>
      </w:r>
    </w:p>
    <w:p>
      <w:r>
        <w:t>- 5/8 - PM/790/2013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w:t>
      </w:r>
    </w:p>
    <w:p>
      <w:r>
        <w:t>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Il convient par ailleurs d'examiner si le danger que représente le détenu au moment de sa libération augmenterait, diminuerait ou resterait inchangé en cas d'exécution complète de la peine (A. KUHN/L. MOREILLON/B. VIREDAZ/A. BISCHOFSKY, op. cit., p. 361).</w:t>
      </w:r>
    </w:p>
    <w:p>
      <w:r>
        <w:t>- 6/8 - PM/790/2013</w:t>
      </w:r>
    </w:p>
    <w:p>
      <w:r>
        <w:rPr>
          <w:b/>
        </w:rPr>
        <w:t>E. 2.3</w:t>
      </w:r>
    </w:p>
    <w:p>
      <w:r>
        <w:t>En l’espèce, la condition objective prévue par l’art. 86 al. 1 CP est réalisée depuis le 16 octobre 2013. Le fait que la direction des Etablissements de la plaine de l'Orbe ait préavisé positivement la demande de l’appelant, compte tenu de son bon comportement en détention et nonobstant la sanction disciplinaire dont il a fait l'objet, constitue un élément favorable qui ne saurait, à lui seul, conduire à l’octroi d’une libération conditionnelle. Il en va de même des démarches effectuées en vue d'obtenir des documents d'identité devant faciliter son refoulement dans son pays d'origine. En effet, l’appelant a été condamné à deux reprises, en décembre 2006 et en avril 2008, pour des faits similaires à ceux à l’origine de la peine qu’il purge actuellement et il a déjà bénéficié de deux précédentes libérations conditionnelles en décembre 2007 et en septembre 2008, qui ne l'ont aucunement dissuadé de réitérer ses agissements illicites, de surcroît durant le délai d'épreuve assortissant ces mesures. Cela montre l'intensité de sa volonté délictueuse et le fait que l’appelant n’a pas pris pleinement conscience du caractère répréhensible de ses actes et de leur gravité. Il n’est ainsi guère possible de le croire lorsqu’il affirme vouloir s’amender, de sorte qu’il existe un risque concret de récidive en cas de nouvelle libération conditionnelle. Comme l'ont relevé les premiers juges, ce risque apparaît d’autant plus important que le projet de réinsertion de l’appelant, outre le fait qu'il n'est pas étayé même s'il paraît plausible, est identique à celui qu'il avait lors de sa dernière mise en liberté conditionnelle et qui ne l'avait nullement détourné de revenir en Suisse, à peine quatre mois plus tard, pour y commettre une nouvelle série de cambriolages lui ayant procuré un gain rapide et sans commune mesure avec le revenu qu'il déclare pouvoir réaliser en travaillant dans l'exploitation agricole familiale. La somme consacrée ces derniers mois au remboursement des frais de justice est non seulement dérisoire par rapport aux profits obtenus grâce à ses agissements illicites, mais est avant tout destinée à faciliter son transfert dans un secteur plus ouvert et n'est donc aucunement la manifestation d'un amendement sincère et durable, d'autant qu'il n'a jamais fait le moindre geste pour réparer le dommage subi par ses victimes. Par conséquent, il convient de poser un pronostic défavorable quant au risque de voir l’appelant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r>
        <w:t>- 7/8 - PM/790/2013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