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AARP/520/2015 vom 1. Dezember 2015</w:t>
      </w:r>
    </w:p>
    <w:p>
      <w:r>
        <w:t>GE Cour de justice, 2015-12-01, FR</w:t>
      </w:r>
    </w:p>
    <w:p>
      <w:r>
        <w:rPr>
          <w:b/>
        </w:rPr>
        <w:t xml:space="preserve">Quelle: </w:t>
      </w:r>
      <w:r>
        <w:t>https://mcp.opencaselaw.ch/entscheid/ge_gerichte_AARP_520_2015</w:t>
      </w:r>
    </w:p>
    <w:p>
      <w:r>
        <w:t>FR: GE_GERICHTE AARP/520/2015 du 1 décembre 2015</w:t>
      </w:r>
    </w:p>
    <w:p>
      <w:r>
        <w:t>IT: GE_GERICHTE AARP/520/2015 del 1 dicembre 2015</w:t>
      </w:r>
    </w:p>
    <w:p>
      <w:pPr>
        <w:pStyle w:val="Heading2"/>
      </w:pPr>
      <w:r>
        <w:t>Erwägungen</w:t>
      </w:r>
    </w:p>
    <w:p>
      <w:r>
        <w:rPr>
          <w:b/>
        </w:rPr>
        <w:t>E. 1.1</w:t>
      </w:r>
    </w:p>
    <w:p>
      <w:r>
        <w:t>Selon l'arrêt 6B_158/2013 du Tribunal fédéral du 25 avril 2013, consid. 2.1, la procédure en libération conditionnelle n'est pas directement régie par le code de</w:t>
      </w:r>
    </w:p>
    <w:p>
      <w:r>
        <w:t>- 4/7 - PM/1119/2015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w:t>
      </w:r>
    </w:p>
    <w:p>
      <w:r>
        <w:t>- 5/7 - PM/1119/2015 consid. 3 et 4d p. 194 et 198 ; A. KUHN / L. MOREILLON / B. VIREDAZ /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2.3</w:t>
      </w:r>
    </w:p>
    <w:p>
      <w:r>
        <w:t>Le préavis positif de la direction de Champ-Dollon est un signal positif mais pas suffisant. Les préavis négatifs du SAPEM et du Ministère public reposent essentiellement sur les nombreux antécédents de l'appelant pour refuser la libération conditionnelle. Le TAPEM reprend cet argument. C'est oublier un peu facilement que l'appelant a déjà été sanctionné pour l'ensemble de ces infractions, dont les plus graves sont au demeurant aussi les plus anciennes. L'appelant a certes déjà bénéficié d'une libération conditionnelle, mais sans que la récidive n'intervienne dans le délai d'épreuve, de sorte qu'il est délicat d'en déduire qu'il a trahi la confiance placée en lui. L'argument tiré des antécédents de l'appelant n'est donc pas suffisant en soi. Le constat d'absence de projet de réinsertion ne s'appuie pas sur la réalité du dossier. De projet concret, l'appelant ne peut guère en fonder tant qu'il n'est pas fixé sur le sort de sa nouvelle demande d'asile. Le pourrait-il qu'il n'est pas sûr qu'il soit capable d'échafauder un projet étayé au regard de sa personnalité et des troubles qui l'affectent. Son récent séjour à Curabilis en témoigne. Une formule stéréotypée qui vient reprocher à l'appelant un défaut de perspectives concrètes fait l'impasse sur la réalité des troubles de l'appelant dont il y a lieu de tenir compte, à l'instar de sa situation administrative précaire. L'appréciation négative du TAPEM relative au risque de récidive ne résiste pas à l'examen. Cet argument peut avoir du sens quand les infractions susceptibles d'être commises constituent un sérieux danger pour la sécurité d'autrui, comme cela peut être le cas avec la commission de brigandages, des vols à répétition ou l'implication</w:t>
      </w:r>
    </w:p>
    <w:p>
      <w:r>
        <w:t>- 6/7 - PM/1119/2015 dans un trafic de stupéfiants d'envergure. Un risque de récidive peut alors de bon droit justifier un refus de libération conditionnelle. Ce n'est assurément pas une introduction, même répétée, dans un centre commercial qui est de nature à créer un tel risque, à l'instar d'ailleurs d'un séjour illégal, fût-il aussi réitéré, ou de la consommation de marijuana. En se référant à un risque de récidive, sans examen concret de la nature de ce risque, le TAPEM s'est contenté d'une appréciation superficielle qui ne suffit pas à fonder un refus en matière de libération conditionnelle qui constitue, faut-il le rappeler, un droit du prévenu. Au vu des développements que précèdent, un pronostic défavorable ne peut pas être émis et il y a dès lors lieu d'octroyer la libération conditionnelle sollicitée.</w:t>
      </w:r>
    </w:p>
    <w:p>
      <w:r>
        <w:rPr>
          <w:b/>
        </w:rPr>
        <w:t>E. 3</w:t>
      </w:r>
    </w:p>
    <w:p>
      <w:r>
        <w:t>Vu l'issue de l'appel, les frais de la procédure d'appel seront laissés à la charge de l'Etat (art. 428 al. 1 CPP a contrario). * * * * *</w:t>
      </w:r>
    </w:p>
    <w:p>
      <w:r>
        <w:t>- 7/7 - PM/1119/2015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