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AARP/51/2020 vom 5. Februar 2020</w:t>
      </w:r>
    </w:p>
    <w:p>
      <w:r>
        <w:t>GE Cour de justice, 2020-02-05, FR</w:t>
      </w:r>
    </w:p>
    <w:p>
      <w:r>
        <w:rPr>
          <w:b/>
        </w:rPr>
        <w:t xml:space="preserve">Quelle: </w:t>
      </w:r>
      <w:r>
        <w:t>https://mcp.opencaselaw.ch/entscheid/ge_gerichte_AARP_51_2020</w:t>
      </w:r>
    </w:p>
    <w:p>
      <w:r>
        <w:t>FR: GE_GERICHTE AARP/51/2020 du 5 février 2020</w:t>
      </w:r>
    </w:p>
    <w:p>
      <w:r>
        <w:t>IT: GE_GERICHTE AARP/51/2020 del 5 febbraio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L'art. 90 al. 1 LCR punit de l'amende celui qui viole les règles de circulation prévues par cette loi ou ses dispositions d'exécution.</w:t>
      </w:r>
    </w:p>
    <w:p>
      <w:r>
        <w:t>L'article 90 al. 1 LCR constitue la base légale pour réprimer les violations des règles de la circulation. Cette disposition étant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(alinéa 1). Le jugement doit donc énoncer, dans ses motifs, les règles de la circulation qui ont été</w:t>
      </w:r>
    </w:p>
    <w:p>
      <w:r>
        <w:t>- 5/11 - P/24555/2018 violées (JEANNERET, Les dispositions pénales de la Loi sur la circulation routière – LCR, Berne 2007, n. 15 ad art. 90 LCR). 2.1.2. Selon l'art. 27 al. 1 LCR, chacun se conformera aux signaux et aux marques ainsi qu’aux ordres de la police. Les signaux et les marques priment les règles générales; les ordres de la police ont le pas sur les règles générales, les signaux et les marques. 2.1.3. Selon l'art. 37 al. 2 LCR, les véhicules ne seront arrêtés ni parqués aux endroits où ils pourraient gêner ou mettre en danger la circulation. Autant que possible, ils seront parqués aux emplacements réservés à cet effet. 2.1.4. Conformément à l'art. 30 de l'ordonnance sur la signalisation routière du</w:t>
      </w:r>
    </w:p>
    <w:p>
      <w:r>
        <w:rPr>
          <w:b/>
        </w:rPr>
        <w:t>E. 2.2</w:t>
      </w:r>
    </w:p>
    <w:p>
      <w:r>
        <w:t>Le principe de la légalité prévaut sur celui de l’égalité de traitement, garanti par l’art. 8 al. 1 Cst. Ainsi, le justiciable ne peut en principe pas se prétendre victime d’une inégalité devant la loi lorsque celle-ci est correctement appliquée à son cas, alors qu’elle aurait été faussement, voire pas appliquée du tout dans d’autres situations (ATF 126 V 390 consid. 6a p. 392 ; 115 Ia 83 consid. 2 p. 83 relevant que le principe de l'égalité dans l'illégalité s'applique également en droit pénal ; arrêt du Tribunal fédéral 1C_423/2011 du 2 avril 2012 consid. 5.1). Dans la constellation habituelle d'une situation d'égalité dans l'illégalité, l'affaire d'A est réglée de façon conforme à la loi, quand bien même les autorités ont décidé de manière contraire à la loi dans des cas similaires X, Y et Z. Il s'agit toujours d'un traitement plus favorable. En raison de X, Y et Z, qui ont été avantagés de manière contraire à la loi, A se sent lésé et exige le même traitement illégal (P. TSCHANNEN, Gleichheit im Unrecht : Gerichtsstrafe im Grundrechtskleid, in ZBl 112/2011 p. 58). La primauté de la légalité présuppose cependant, de la part de l’autorité dont la décision est attaquée, la volonté d’appliquer correctement à l’avenir les dispositions légales en question. Le citoyen ne peut prétendre à l’égalité dans l’illégalité que s’il y a lieu de prévoir qu’elle persévérera dans l’inobservation de la loi (ATF 127 I 1 consid. 3a p. 2s ; 125 II 152 consid. 5 p. 166). Il faut encore que l’autorité n’ait pas respecté la loi selon une pratique constante, et non pas dans un ou plusieurs cas isolés et qu’aucun intérêt public ou privé prépondérant n’impose de donner la préférence au respect du principe de la légalité (ATF 132 II 485 consid. 8.6 p. 510 ; 123 II 248 consid. 3c p. 254 ; arrêt du Tribunal fédéral 1C_423/2011 du 2 avril 2012 consid. 5.1). Lorsque l'autorité croyait à tort que sa pratique constante était conforme à la loi et que son illégalité a été constatée pour la première fois en justice, il est présumé qu'elle respectera dorénavant la loi (ATF 112 Ib 381 consid. 6 p. 387). Ce n’est que lorsque toutes ces conditions sont remplies que le citoyen est en droit de prétendre, à titre exceptionnel, au bénéfice de l’égalité dans l’illégalité.</w:t>
      </w:r>
    </w:p>
    <w:p>
      <w:r>
        <w:rPr>
          <w:b/>
        </w:rPr>
        <w:t>E. 2.3</w:t>
      </w:r>
    </w:p>
    <w:p>
      <w:r>
        <w:t>Le droit fédéral prime le droit cantonal qui lui est contraire (art. 49 al. 1 Cst.).</w:t>
      </w:r>
    </w:p>
    <w:p>
      <w:r>
        <w:rPr>
          <w:b/>
        </w:rPr>
        <w:t>E. 2.4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arrêts 6B_524/2016 du 13 février 2017 consid. 1.3.2;</w:t>
      </w:r>
    </w:p>
    <w:p>
      <w:r>
        <w:t>- 7/11 - P/24555/2018 6B_1102/2015 du 20 juillet 2016 consid. 4.1). Pour exclure l'erreur de droit, il suffit que l'auteur ait eu le sentiment de faire quelque chose de contraire à ce qui se doit ou qu'il eût dû avoir ce sentiment (ATF 104 IV 217 consid. 2 p. 218; arrêt 6B_524/2016 du 13 février 2017 consid. 1.3.2). Toutefois, la possibilité théorique d'apprécier correctement la situation ne suffit pas à exclure l'application de l'art. 21, 1ère phrase, CP. Ce qui est déterminant c'est de savoir si l'erreur de l'auteur peut lui être reprochée (ATF 116 IV 56 consid. II.3a p. 68; arrêt 6B_784/2018 du 4 octobre 2018 consid. 1.1.2). Le Tribunal fédéral a ainsi considéré que seul celui qui avait des "raisons suffisantes de se croire en droit d'agir"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 ATF 98 IV 293 consid. 4a p. 303; arrêt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p. 210; arrêt 6S_46/2002 du 24 mai 2002 consid. 4b, publié in SJ 2002 I 441; TRECHSEL/JEAN-RICHARD, Schweizerisches Strafgesetzbuch, Praxiskommentar, 3e éd., 2018, n° 9 ad art. 21 CP).</w:t>
      </w:r>
    </w:p>
    <w:p>
      <w:r>
        <w:rPr>
          <w:b/>
        </w:rPr>
        <w:t>E. 2.4.1</w:t>
      </w:r>
    </w:p>
    <w:p>
      <w:r>
        <w:t>En l'espèce, les pièces au dossier établissent que le motocycle de l'intimé se trouvait stationné sur le trottoir public sis [no.] ______, [rue] 3______ à Genève le 12 février 2018 à 14h12, sans que des signaux ou des marques ne l'autorisassent à le faire et que le stationnement ne puisse être considéré comme un arrêt au sens de l'art. 41 al. 1bis OCR, ce qui n'est pas contesté. Selon le premier juge, l'ensemble des circonstances, soit notamment le fait que de nombreux motocycles se garaient régulièrement au même endroit – ce qui était démontré par la photographie déposée au dossier par l'intimé – et le fait qu'il avait été loisible à celui-ci de stationner sur les cases prévues à cet effet plutôt qu'à l'endroit incriminé, plaidaient en sa faveur. Son inexpérience juridique permettait d'excuser son sentiment de licéité. Il était ainsi parvenu à rendre son erreur sur l'illicéité vraisemblable, si bien qu'elle ne pouvait lui être reprochée et qu'il ne pouvait être retenu qu'il avait agi de manière coupable.</w:t>
      </w:r>
    </w:p>
    <w:p>
      <w:r>
        <w:rPr>
          <w:b/>
        </w:rPr>
        <w:t>E. 2.4.2</w:t>
      </w:r>
    </w:p>
    <w:p>
      <w:r>
        <w:t>Il sera tout d'abord relevé qu'il ne ressort nullement du dossier que les autorités auraient adopté une pratique dérogatoire consistant à ne pas amender les</w:t>
      </w:r>
    </w:p>
    <w:p>
      <w:r>
        <w:t>- 8/11 - P/24555/2018 contrevenants qui garaient leurs motocycles à l'endroit en cause et, partant, que l'intimé aurait été le seul à avoir été verbalisé comme il l'a affirmé. Il n'est pas plus démontré qu'avant la commission des faits une autorité aurait publiquement laissé entendre que le stationnement de motocycles à cet endroit n'était pas susceptible d'être réprimé par une amende d'ordre. Au contraire, l'une des photographies réalisées par l'agent de la FDP laisse apparaître ce qui semble être une contravention sur le pare-brise de la voiture stationnée à côté de la moto de l'intimé, ce qui démontre déjà qu'il n'était pas le seul à avoir été amendé. En tout état de cause, une pratique cantonale tolérant des stationnements de deux-roues motorisés dans les zones marquées d'une interdiction de s'arrêter ou sur les trottoirs publics contreviendrait aux art. 27 al. 1, 37 al. 2 LCR et 41 al. 1bis OCR, des dispositions de rang fédéral qui ne peuvent être rendues inapplicables par une telle pratique en raison de sa force dérogatoire. Il s'ensuit que l'intimé ne peut être mis au bénéfice du principe de l'égalité dans l'illégalité. Qu'il ait été le seul à avoir été verbalisé, ce qui n'est au demeurant pas démontré, n'y change rien.</w:t>
      </w:r>
    </w:p>
    <w:p>
      <w:r>
        <w:rPr>
          <w:b/>
        </w:rPr>
        <w:t>E. 2.4.3</w:t>
      </w:r>
    </w:p>
    <w:p>
      <w:r>
        <w:t>L'intimé aurait agi sous l'emprise d'une erreur de droit s'agissant de la tolérance du stationnement à l'endroit en question. Or, si la Cour reconnaît que le panneau de signalisation marquant l'interdiction de s'arrêter à cet endroit est peu compréhensible et difficilement visible vu son emplacement, il n'en demeure pas moins que l'intimé ne pouvait ignorer l'interdiction absolue de garer un motocycle sur un trottoir, en vigueur dans tout le canton et notoire. Le fait que l'intimé ait constaté que des places dédiées aux motocycles étaient libres mais qu'il ait choisi de se garer sur le trottoir ne plaide pas en sa faveur. Au contraire, il ne pouvait qu'être conscient que, contrairement aux places marquées située à quelques mètres seulement, le stationnement de son motocycle à l'emplacement en question n'était pas autorisé. Partant, il ne saurait être mis au bénéfice d'une erreur sur l'illicéité et même si tel avait été le cas, elle n'en aurait pas moins été inexcusable, si bien qu'il n'aurait pas pu s'en prévaloir à bon escient.</w:t>
      </w:r>
    </w:p>
    <w:p>
      <w:r>
        <w:rPr>
          <w:b/>
        </w:rPr>
        <w:t>E. 2.4.4</w:t>
      </w:r>
    </w:p>
    <w:p>
      <w:r>
        <w:t>Ainsi, au regard de ce qui précède, l'appel du MP sera admis sur ce point et l'intimé sera déclaré coupable de violation simple des règles de la circulation routière (art. 90 al. 1 LCR). 3. 3.1.1. La peine prévue par l'art. 90 al. 1 LCR est une amende. 3.1.2.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w:t>
      </w:r>
    </w:p>
    <w:p>
      <w:r>
        <w:t>- 9/11 - P/24555/2018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Bâle 2009, n. 19 ad art. 106 CP). 3.2. En l'espèce, la faute de l'intimé est légère. S'il a sciemment violé les règles sur la circulation routière, il n'a toutefois lésé ou mis en danger aucun bien juridique particulièrement important. Sa collaboration peut être qualifiée de bonne en lien avec l'établissement des faits. Il n'a toutefois jamais reconnu avoir contrevenu au droit en parquant son motocycle sur un trottoir et devoir en assumer les conséquences, estimant avoir été injustement verbalisé. Le montant de l'amende initiale, soit CHF 120.-, sera maintenu conformément aux réquisitions du MP dont l'appel sera admis sur ce point également, à défaut de prise de position de l'intimé à cet égard. Elle sera assortie d'une peine privative de liberté d'un jour. 4. 4.1.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t>Le MP ayant obtenu gain de cause, les frais de la procédure d'appel seront mis à la charge de l'intimé, lesquels comprendront un émolument de jugement de CHF 800.-.</w:t>
      </w:r>
    </w:p>
    <w:p>
      <w:r>
        <w:t>4.2.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En l'espèce, vu sa condamnation en seconde instance, la totalité des frais de première instance, en CHF 357.-, y compris l'émolument de jugement de CHF 200.-, sera mis à la charge de l'intimé. * * * * *</w:t>
      </w:r>
    </w:p>
    <w:p>
      <w:r>
        <w:t>- 10/11 - P/24555/2018</w:t>
      </w:r>
    </w:p>
    <w:p>
      <w:r>
        <w:rPr>
          <w:b/>
        </w:rPr>
        <w:t>E. 5</w:t>
      </w:r>
    </w:p>
    <w:p>
      <w:r>
        <w:t>septembre 1979 (OSR ; RS 741.21), les signaux « interdiction de s’arrêter » et « interdiction de parquer » défendent respectivement l’arrêt volontaire des véhicules ou leur parcage sur le côté de la route muni d’un tel signal. Par parcage d’un véhicule on entend un stationnement qui ne sert pas uniquement à laisser monter ou descendre des passagers ou encore à charger ou décharger des marchandises (art. 19, al. 1 OCR) (al. 1). Lorsque le signal « interdiction de s’arrêter » se trouve au bord de la chaussée, l’interdiction vaut également pour le trottoir adjacent (al. 2). Le début, le rappel ou la fin de l’interdiction seront indiqués par la « plaque indiquant le début d’une prescription », la « plaque de rappel » ou la « plaque indiquant la fin d’une prescription ». Suivant les conditions locales, le champ d’application d’une interdiction peut aussi être indiqué au moyen de la « plaque de direction » (al. 3). 2.1.5. L'art. 43 al. 2 LCR dispose pour sa part que le trottoir est réservé aux piétons et la piste cyclable aux cyclistes, le Conseil fédéral pouvant prévoir des exceptions. 2.1.6. L'art. 41 de l'ordonnance sur les règles de la circulation routière du 13 novembre 1962 (OCR - RS 741.11) prévoit ainsi que les cycles peuvent être parqués sur le trottoir, pour autant qu'il reste un espace libre d'au moins 1.50 mètres pour les piétons (al. 1). Le parcage des autres véhicules sur le trottoir est interdit, à moins que des signaux ou des marques ne l'autorisent expressément. A défaut d'une telle signalisation, ils ne peuvent s'arrêter sur le trottoir que pour charger ou décharger des marchandises ou pour laisser monter ou descendre des passagers; un espace d'au moins 1.50 mètres doit toujours rester libre pour les piétons et les opérations doivent s'effectuer sans délai (al. 1bis). Par cycle selon l'art. 41 OCR, il faut entendre des véhicules sans moteur à deux roues au moins (art. 18 LCR et art. 24 al. 1 de l'ordonnance concernant les exigences techniques requises pour les véhicules routiers [OETV ; RS 741.41]). Au regard de ce qui précède, l'interdiction du comportement consistant à stationner son motocycle sur le trottoir, même s'il subsiste un passage d'au moins 1.5 mètres pour les piétons, peut être déduite de manière claire et non équivoque de la législation fédérale en matière de circulation routière. Il a ainsi été admis que</w:t>
      </w:r>
    </w:p>
    <w:p>
      <w:r>
        <w:t>- 6/11 - P/24555/2018 l'interdiction de stationner sur les trottoirs revêtait un caractère absolu, de sorte qu'elle s'imposait en toute circonstance (cf. arrêts 6B_395/2017 du 16 novembre 2017 consid. 2.3; 6B_507/2012 du 1er novembre 2012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