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AARP/519/2014 vom 28. November 2014</w:t>
      </w:r>
    </w:p>
    <w:p>
      <w:r>
        <w:t>GE Cour de justice, 2014-11-28, FR</w:t>
      </w:r>
    </w:p>
    <w:p>
      <w:r>
        <w:rPr>
          <w:b/>
        </w:rPr>
        <w:t xml:space="preserve">Quelle: </w:t>
      </w:r>
      <w:r>
        <w:t>https://mcp.opencaselaw.ch/entscheid/ge_gerichte_AARP_519_2014</w:t>
      </w:r>
    </w:p>
    <w:p>
      <w:r>
        <w:t>FR: GE_GERICHTE AARP/519/2014 du 28 novembre 2014</w:t>
      </w:r>
    </w:p>
    <w:p>
      <w:r>
        <w:t>IT: GE_GERICHTE AARP/519/2014 del 28 novembre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w:t>
      </w:r>
    </w:p>
    <w:p>
      <w:r>
        <w:t>- 9/15 - P/11219/2010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3.1</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vol. I, 3e éd., Berne 2010, n. 18 ad art. 189). Pour déterminer si l’on se trouve en présence d’une contrainte sexuelle, il faut procéder à une appréciation globale des circonstances concrètes, les dispositions réprimant la contrainte sexuelle devant toutefois être appliquées avec prudence</w:t>
      </w:r>
    </w:p>
    <w:p>
      <w:r>
        <w:t>- 10/15 - P/11219/2010 (arrêt du Tribunal fédéral 6B_287/2011 du 3 novembre 2011 consid. 3.1.1). Pour dire si les pressions d’ordre psychique étaient suffisantes pour rendre compréhensible le choix de la victime, il faut tenir compte de son état étant précisé qu'on ne peut attendre la même résistance de la part d’un enfant ou de la part d’un adulte (ATF 128 IV 99 consid. 2b/aa ; B. CORBOZ, op. cit., n. 18 ad art. 189).</w:t>
      </w:r>
    </w:p>
    <w:p>
      <w:r>
        <w:rPr>
          <w:b/>
        </w:rPr>
        <w:t>E. 3.2</w:t>
      </w:r>
    </w:p>
    <w:p>
      <w:r>
        <w:t>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3.3.1 Les infractions de vol, de lésions corporelles simples et la violation de l'art. 19a al. 1 LStup ne sont pas contestées par l'intimé. Dès lors que les éléments constitutifs de ces infractions sont réalisés, la culpabilité de l'intimé sera confirmée. 3.3.2 Le dossier ne contient pas de preuve indiscutable – ce qui est fréquent dans une affaire à caractère sexuel – mais bien divers indices, à charge et à décharge, qu'il s'agit d'apprécier pour déterminer si la thèse de l'accusation peut être tenue pour établie, au-delà de tout doute raisonnable. En l'espèce, les versions sont constantes mais contradictoires. L'appelante avait vécu la fellation comme un viol alors même qu'elle a reconnu ne pas avoir manifesté verbalement son refus, comme tétanisée par la peur que lui inspirait l'intimé. Celui-ci a décrit un acte naturel dans la continuité de l'acte sexuel précédent, sans qu'il ne se soit aperçu de la terreur qui animait l'appelante. Une différence significative tient à la chronologie, les faits litigieux étant intervenus avant l'épisode de violence selon l'intimé et après si l'on en croit l'appelante. Les certificats médicaux n’infirment ni n’accréditent aucune des deux versions. En tout état, et bien que ce ne soit pas incompatible avec une agression sexuelle, aucune trace de violence n’a été constatée. La médecin traitant de l’appelante a constaté que sa patiente souffrait de symptômes d’état de stress aigu ou post-traumatique, mais cet élément, pris isolément, n’est pas suffisant pour démontrer que l’intimé s’est rendu coupable de</w:t>
      </w:r>
    </w:p>
    <w:p>
      <w:r>
        <w:t>- 11/15 - P/11219/2010 contrainte sexuelle, ce d'autant que l'auteur du constat n'est pas un praticien spécialisé dans cette thématique. Il en va de même du mal-être de l’appelante, dont il n’est pas prouvé qu’il soit en lien exclusif avec l’agression dont elle dit avoir été victime, l'appelante étant déjà fragilisée par une affection durable pour laquelle elle était en traitement. Les différents témoignages émanant des amies intimes de l'intimé s’accordent sur le fait que ce dernier n'avait pas fait preuve d'agressivité ou de violence pour obtenir des faveurs sexuelles. Cet élément ne saurait cependant à lui seul suffire pour écarter la culpabilité de l'intimé pour un acte isolé. Mais il y a plus. A suivre la chronologie décrite par l'appelante, il est troublant de constater qu'elle a suivi l'intimé malgré la terreur ressentie lors de son arrivée en force dans sa chambre. Même soumise, il y avait pour elle la possibilité d'alerter des tiers dans les couloirs de l'hôtel. En acceptant de le suivre pour un motif futile, l'appelante a pris le risque de retourner auprès de l'individu qui lui avait déjà fait subir, une quinzaine de minutes avant, un acte sexuel complet. Il l’avait pénétrée alors qu'elle ne le voulait pas, même si elle n'avait pas été claire dans l'expression de son refus, le tout dans un contexte où elle a reconnu avoir antérieurement fait comprendre à son agresseur qu'elle ne voulait pas d'une relation autre qu'amicale. Le fait qu'elle l'ait suivi docilement, sans chercher à attirer l'attention des autres locataires, a pu faire naître chez l'intimé l'impression d'un accord tacite pour la continuation de leurs ébats. Ce sentiment a pu être renforcé par la soumission dont elle avait fait preuve et qui a permis à l'intimé de la faire s'asseoir sur le lit sans devoir user de la force. Dans ces circonstances, l'intimé a pu croire que l'appelante n'était pas formellement opposée à l'idée d'un nouvel acte d'ordre sexuel, la peur de mourir ressentie par l'appelante ne se concrétisant pas par des actes de refus explicite ou une opposition. S'ajoutent à ce qui précède des essais de sonnerie pour repérer le téléphone portable de l'intimé prétendument perdu, ce qui est suffisamment incongru pour faire naître des doutes sur la réalité d'un épisode sexuel imposé dans les minutes qui précédaient. La logique de la chronologie des événements s'accorde mieux à vrai dire avec le récit de l'intimé, pour lequel il était devenu vert de rage après l'épisode de la fellation, certes pour des motifs peu convaincants. Mais même dans cette version, il est incompréhensible que l'appelante ait accepté de suivre l'intimé pour l'aider dans ses recherches de portable alors que, terrorisée et recroquevillée, elle venait d'être victime de ses actes. Même soumise comme elle l'affirme, il y avait moyen d'agir autrement. Il subsiste ainsi un sérieux doute sur la conscience qu’a eue l’intimé du fait que l'appelante ne consentait pas à la fellation et qu’il la contraignait, mais également, au vu de l’incohérence apparente de son comportement, sur les réelles intentions de</w:t>
      </w:r>
    </w:p>
    <w:p>
      <w:r>
        <w:t>- 12/15 - P/11219/2010 l’appelante. Par conséquent, bien qu’il soit établi qu'elle ait mal vécu les actes sexuels subis, l’appréciation objective des éléments de preuve recueillis ne permet pas de démontrer que l’intimé se soit montré contraignant et d’accréditer la thèse de la contrainte sexuelle, étant précisé que cela ne signifie pas pour autant que la partie plaignante est soupçonnée d'avoir sciemment porté de fausses accusations. Au vu de ce qui précède, l'appel de la partie plaignante sera rejeté, à l'instar de la partie de ses conclusions civiles consacrées à son indemnisation pour tort moral. Il en va différemment des frais d'honoraires liés au conseil juridique gratuit qui seront examinés infra sous ch. 5.</w:t>
      </w:r>
    </w:p>
    <w:p>
      <w:r>
        <w:rPr>
          <w:b/>
        </w:rPr>
        <w:t>E. 4</w:t>
      </w:r>
    </w:p>
    <w:p>
      <w:r>
        <w:t>L'intimé ne conteste ni la nature ni la quotité de la peine ni encore que le sursis lui ait été refusé eu égard à l'absence de circonstances particulièrement favorables, de sorte que le jugement du Tribunal de police sera confirmé sur ce point aussi, les critères des art. 42 al. 2 et 47 CP étant respectés.</w:t>
      </w:r>
    </w:p>
    <w:p>
      <w:r>
        <w:rPr>
          <w:b/>
        </w:rPr>
        <w:t>E. 5</w:t>
      </w:r>
    </w:p>
    <w:p>
      <w:r>
        <w:t>5.1.1 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28 janvier 2014. 5.1.2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Pour les victimes au sens de la LAVI,</w:t>
      </w:r>
    </w:p>
    <w:p>
      <w:r>
        <w:t>- 13/15 - P/11219/2010 dont la défense implique généralement un soutien accru, une indemnisation forfaitaire de 20% est allouée pour les démarches diverses, tels la rédaction de courriers ou notes, les entretiens téléphoniques et la lecture de communications, pièces et décisions. Le temps consacré aux recherches juridiques, sauf questions particulièrement pointues, n'est pas indemnisé. 5.1.3 En l'espèce, l'activité suivante ne sera pas considérée comme nécessaire : - une heure et 30 minutes pour le poste "procédure", la réception et la lecture du jugement de première instance étant des prestations incluses dans le forfait courriers et téléphones et la déclaration d'appel ne devant pas être motivée au sens des exigences de l'art. 399 al. 3 CPP ; - trois heures et 45 minutes pour la préparation de l'audience, au motif que le conseil de l'appelante était censée bien connaître son dossier pour avoir assisté sa mandante depuis le début de la procédure et avoir facturé de nombreuses heures au titre de l'activité de première instance. Dans ces circonstances, il n'était pas nécessaire de consacrer encore plus de 15 heures à la préparation de l'audience d'appel dont le champ était circonscrit à un seul acte litigieux. L'activité exercée par le conseil juridique gratuit de l'appelante dans le cadre de la présente procédure est au surplus en adéquation avec la nature, l'importance et la difficulté de la cause. Par conséquent, l'état de frais, après les réductions qui précèdent, sera admis à concurrence de 21 heures et 30 minutes d'activité de chef d'étude, ce qui correspond à une indemnité de base de CHF 4'300.-. Il convient d'ajouter à ce montant l'indemnisation forfaitaire de 20 %, soit CHF 860.-, ainsi que la TVA à hauteur de CHF 412.80.</w:t>
      </w:r>
    </w:p>
    <w:p>
      <w:r>
        <w:rPr>
          <w:b/>
        </w:rPr>
        <w:t>E. 5.2</w:t>
      </w:r>
    </w:p>
    <w:p>
      <w:r>
        <w:t>Conformément à la jurisprudence citée supra sous ch. 5.1.1, la présente cause sera retournée au Tribunal pénal pour la partie de l'indemnisation des honoraires du conseil juridique gratuit de l'appelante non couverte par la procédure d'appel.</w:t>
      </w:r>
    </w:p>
    <w:p>
      <w:r>
        <w:rPr>
          <w:b/>
        </w:rPr>
        <w:t>E. 6</w:t>
      </w:r>
    </w:p>
    <w:p>
      <w:r>
        <w:t>L'appelante, qui succombe entièrement, aurait dû supporter les frais de la procédure d’appel si elle n'avait pas bénéficié de l'assistance judiciaire. En application de l'art. 136 al. 2 let. b CPP, les frais de la procédure d'appel seront en conséquence laissés à la charge de l'Etat. * * * * *</w:t>
      </w:r>
    </w:p>
    <w:p>
      <w:r>
        <w:t>- 14/15 - P/11219/2010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