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AARP/517/2016 vom 19. Dezember 2016</w:t>
      </w:r>
    </w:p>
    <w:p>
      <w:r>
        <w:t>GE Cour de justice, 2016-12-19, FR</w:t>
      </w:r>
    </w:p>
    <w:p>
      <w:r>
        <w:rPr>
          <w:b/>
        </w:rPr>
        <w:t xml:space="preserve">Quelle: </w:t>
      </w:r>
      <w:r>
        <w:t>https://mcp.opencaselaw.ch/entscheid/ge_gerichte_AARP_517_2016</w:t>
      </w:r>
    </w:p>
    <w:p>
      <w:r>
        <w:t>FR: GE_GERICHTE AARP/517/2016 du 19 décembre 2016</w:t>
      </w:r>
    </w:p>
    <w:p>
      <w:r>
        <w:t>IT: GE_GERICHTE AARP/517/2016 del 19 dicembre 2016</w:t>
      </w:r>
    </w:p>
    <w:p>
      <w:pPr>
        <w:pStyle w:val="Heading2"/>
      </w:pPr>
      <w:r>
        <w:t>Erwägungen</w:t>
      </w:r>
    </w:p>
    <w:p>
      <w:r>
        <w:rPr>
          <w:b/>
        </w:rPr>
        <w:t>E. 1</w:t>
      </w:r>
    </w:p>
    <w:p>
      <w:r>
        <w:t>L'appel est recevable pour avoir été interjeté et motivé selon la forme et dans les délais prescrits (art. 398 et 399 CPP).</w:t>
      </w:r>
    </w:p>
    <w:p>
      <w:r>
        <w:t>- 6/11 - P/13615/2014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 106 IV 125 consid. 2a p. 128) ni que l'auteur ait réellement la volonté de réaliser sa menace (ATF 105 IV 120 consid. 2a p. 122).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441 ; 137 IV 326 consid. 3.3.1 p. 328 = JdT 2012 IV 279 p. 280 s. ; 134 IV 216 consid. 4.2 ; 119 IV 301 consid. 2a).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 JdT 2012 IV 279 p. 280 s. ; 134 IV 216 consid. 4.1 ; 120 IV 17 consid. 2a/bb). Sur le plan subjectif, il faut que l'auteur ait agi intentionnellement, c'est-à-dire qu'il ait voulu contraindre la victime à adopter le comportement visé en étant conscient de l'illicéité de son comportement ; le dol éventuel suffit (ATF 120 IV 17 consid. 2c p. 22).</w:t>
      </w:r>
    </w:p>
    <w:p>
      <w:r>
        <w:t>- 7/11 - P/13615/2014 Lorsque la victime ne se laisse pas intimider et n'adopte pas le comportement voulu par l'auteur, ce dernier est punissable de tentative de contrainte (art. 22 al. 1 CP ; ATF 129 IV 262 ; 106 IV 125 consid. 2b p. 129).</w:t>
      </w:r>
    </w:p>
    <w:p>
      <w:r>
        <w:t>2.1.2.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la créance alléguée est licite. En revanche, utiliser un tel procédé comme moyen de pression pour dissuader la personne visée d'agir correctement dans sa profession est clairement abusif, donc illicite (ATF 115 III 18 consid. 3 = SJ 1989 I 400 ; arrêts du Tribunal fédéral 6B_70/2016 du 2 juin 2016 consid. 4.3.4 destiné à la publication, 6B_750/2014 du</w:t>
      </w:r>
    </w:p>
    <w:p>
      <w:r>
        <w:rPr>
          <w:b/>
        </w:rPr>
        <w:t>E. 2.2</w:t>
      </w:r>
    </w:p>
    <w:p>
      <w:r>
        <w:t>En l'espèce, si l'appelant s'estimait victime d'une atteinte illicite à sa personnalité (art. 28 ss du code civil suisse du 10 décembre 1907 [CC – RS 210]) et/ou d'infractions contre l'honneur (art. 173 ss CP), dont l'examen n'est pas l'objet de la présente procédure, il lui appartenait d'utiliser les voies légales adéquates afin de faire valoir ses droits sur les plans civil et/ou pénal, ce qu'il n'a pas fait. Bien plutôt, il s'en est tenu à la notification d'un commandement de payer, plus de treize ans après les faits, portant sur une somme totalement fantaisiste et exorbitante, sans même ensuite requérir l'annulation de l'opposition formée par l'intimée par les voies prévues par les art. 79 ss de la loi fédérale sur la poursuite pour dettes et la faillite du 11 avril 1889 (LP – RS 281.1). Il est piquant de relever que l'appelant avait déjà procédé de la sorte en 2001, pour la même cause, avec un commandement de payer portant sur une somme encore plus démesurée, et, dans ce cas déjà, à défaut de toute procédure subséquente.</w:t>
      </w:r>
    </w:p>
    <w:p>
      <w:r>
        <w:t>- 8/11 - P/13615/2014 Même à admettre que l'appelant ait agi, la première fois, pour interrompre la prescription, il n'a pas engagé d'action pour recouvrer le montant en question, de sorte que le bienfondé de sa démarche est douteux. En tout état, une telle justification ne saurait être admise pour la seconde poursuite, les délais de prescription tant du point de vue civil que pénal étant largement échus (cf. art. 60 CO de la loi fédérale du 30 mars 1911, complétant le Code civil suisse [CO, Code des obligations – RS 220] et 178 CP). Il est révélateur que l'appelant n'ait pas cherché à établir sa créance, compte tenu de l'ampleur de l'atteinte dont il se prévaut. Les problèmes de santé évoqués pour palier à cette carence ne sont pas pertinents, d'autant que, paradoxalement, il invoque également l'existence de procédures "tous azimuts", lesquelles auraient nécessité sa participation active. L'appelant a fait notifier un commandement de payer à l'intimée treize ans après des faits qu'il considérait constitutifs d'une grave atteinte à sa personnalité et à son honneur, alors qu'il n'a intenté aucune action judiciaire pour faire valoir ses droits, pouvant aboutir, cas échéant, à l'octroi d'un tort moral (art. 49 CO). En agissant ainsi, il espérait nuire à la journaliste et la contraindre à payer la somme réclamée, sans utiliser les voies légales prévues à cet effet. Ce faisant, l'appelant a agi de manière abusive, et donc illicite. Qui plus est, la somme réclamée est en complète disproportion avec les sommes généralement allouées à ce titre pour des atteintes similaires, sans compter que l'appelant se contente de reprocher à la journaliste la violation de règles déontologiques et des atteintes portées à son parti politique, dont il ne saurait se prévaloir à titre personnel. Ce procédé était propre à impressionner une personne de sensibilité moyenne telle que l'intimée et à l'entraver dans sa liberté d'action et de décision, d'autant qu'il a été répété deux fois. Ce sentiment pouvait en outre être renforcé par la formation de juriste et le statut politique de l'appelant. Il est notoire que faire l'objet d'une poursuite génère des inconvénients et une pression psychologique, découlant notamment de la perspective de devoir peut-être payer le montant réclamé, tourments dont l'intimé a fait part à réitérées reprises au cours de la procédure. Ni la profession de journaliste, ni les infrastructures mises à disposition des employés du service public n'empêchent la sensibilité de l'intimée de demeurer dans la norme. On pourrait même considérer que sa profession est pertinente pour mesurer la pression exercée, qui revient à tenter de l'empêcher de faire son travail, qui est de s'exprimer. À cet égard, le dépôt de plainte illustre encore, si besoin était, sa volonté de sanctionner un comportement qui l'a choquée. L'infraction de contrainte n'a pas été consommée, l'intimée n'ayant précisément pas cédé à la pression subie.</w:t>
      </w:r>
    </w:p>
    <w:p>
      <w:r>
        <w:t>- 9/11 - P/13615/2014 Les éléments constitutifs objectifs de la tentative de contrainte sont donc réalisés. Il en va de même de l'élément subjectif. En effet, il est établi que l'appelant, juriste, avait conscience du caractère illicite de ses agissements, à tout le moins par dol éventuel, ce qu'illustre particulièrement le défaut de démarches tendant à demander la mainlevée de l'opposition ou la reconnaissance judiciaire de la créance en 2001, puis à nouveau en 2014. Il a choisi la voie du commandement de payer dans un but purement chicanier, conscient que l'Office des poursuites n'avait pas le pouvoir d'examiner le bien-fondé de la créance. C'est donc à juste titre que le Tribunal de police a reconnu l'appelant coupable de tentative de contrainte.</w:t>
      </w:r>
    </w:p>
    <w:p>
      <w:r>
        <w:rPr>
          <w:b/>
        </w:rPr>
        <w:t>E. 2.3</w:t>
      </w:r>
    </w:p>
    <w:p>
      <w:r>
        <w:t>Bien qu'il attaque le jugement dans son ensemble, l'appelant n'émet pas de critique spécifique sur la peine qui lui a été infligée. En le condamnant à une peine pécuniaire de 30 jours-amende, le Tribunal de police a correctement tenu compte de sa faute, non négligeable, et des circonstances personnelles l'ayant entourée. Le montant du jour-amende, arrêté à CHF 120.-, est adéquat au regard de sa situation économique. L'octroi du sursis et la durée du délai d'épreuve de trois ans, non contestés en appel, sont acquis à l'appelant (art. 391 al. 2 CPP). 3. Vu l'issue de la procédure d'appel, l'appelant sera débouté de ses conclusions en indemnisation (art. 429 CPP a contrario). 4. L'appelant, qui succombe, sera condamné aux frais de la procédure d'appel, qui comprennent un émolument de CHF 2'500.- (art. 428 al. 1 CPP et art. 14 let. e du règlement fixant le tarif des frais en matière pénale du 22 décembre 2010 [RTFMP – E 4 10.03]). * * * * *</w:t>
      </w:r>
    </w:p>
    <w:p>
      <w:r>
        <w:t>- 10/11 - P/13615/2014</w:t>
      </w:r>
    </w:p>
    <w:p>
      <w:r>
        <w:rPr>
          <w:b/>
        </w:rPr>
        <w:t>E. 7</w:t>
      </w:r>
    </w:p>
    <w:p>
      <w:r>
        <w:t>août 2015 consid. 1.1.2 et 6S.853/2000 du 9 mai 2001 consid. 4c). À titre d'exemples,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(S. MARCHAND, Précis de droit des poursuites, 2ème éd., 2013, p. 53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