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AARP/515/2015 vom 3. Dezember 2015</w:t>
      </w:r>
    </w:p>
    <w:p>
      <w:r>
        <w:t>GE Cour de justice, 2015-12-03, FR</w:t>
      </w:r>
    </w:p>
    <w:p>
      <w:r>
        <w:rPr>
          <w:b/>
        </w:rPr>
        <w:t xml:space="preserve">Quelle: </w:t>
      </w:r>
      <w:r>
        <w:t>https://mcp.opencaselaw.ch/entscheid/ge_gerichte_AARP_515_2015</w:t>
      </w:r>
    </w:p>
    <w:p>
      <w:r>
        <w:t>FR: GE_GERICHTE AARP/515/2015 du 3 décembre 2015</w:t>
      </w:r>
    </w:p>
    <w:p>
      <w:r>
        <w:t>IT: GE_GERICHTE AARP/515/2015 del 3 dicembre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w:t>
      </w:r>
    </w:p>
    <w:p>
      <w:r>
        <w:t>- 9/19 - P/23294/2014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2.3.1.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2.3.2.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w:t>
      </w:r>
    </w:p>
    <w:p>
      <w:r>
        <w:t>- 10/19 - P/23294/2014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6B_42/2015 du 22 juillet 2015 consid. 2.4.1). La tentative suppose que l'auteur réalise tous les éléments subjectifs de l'infraction et qu'il manifeste sa décision de la commettre, mais sans en réaliser tous les éléments objectifs (ATF 120 IV 199 consid. 3e p. 206).</w:t>
      </w:r>
    </w:p>
    <w:p>
      <w:r>
        <w:rPr>
          <w:b/>
        </w:rPr>
        <w:t>E. 2.4</w:t>
      </w:r>
    </w:p>
    <w:p>
      <w:r>
        <w:t>L'art. 19 al. 1 LStup ne réprime pas une infraction unique de « trafic de stupéfiants » réalisée par les différents comportements visés par cette disposition (art. 19 al. 1 LStup),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2.5.1. En l'espèce, il n'est pas établi que les traces d'outil de pesée orange relevées proviennent du même pied-de-biche retrouvé après la tentative commise au détriment de E______, en l'absence d'autre élément fondant une correspondance. Les contacts téléphoniques entre l'appelant et "K______" durant le cas de la D______ et celui de l'entreprise F______ ne prouvent pas non plus la participation de celui-là aux premiers faits, l'identité exacte de "K______" n'étant pas établie, pas plus qu'il n'est démontré qu'il est impliqué dans les autres occurrences. La seule présence de l'intéressé à proximité de la D______ pendant son cambriolage ne saurait le confondre. Aussi, un doute irréductible subsiste quant à la participation de l'appelant à la tentative de cambriolage de la D______. Certes, les explications de l'appelant ne sont guère convaincantes, mais le fardeau de la preuve incombe à l'accusation. Au vu de ce qui précède, la reconnaissance de culpabilité de l'appelant de tentative de vol sera annulée et celui-ci acquitté de ce chef d'accusation, au bénéfice du doute. 2.5.2. Pour ce qui est du trafic de stupéfiants, H______ a identifié l'appelant comme étant la personne de contact lors de la commande de drogue, vu son accent, et a affirmé avoir remis son téléphone au "chef" de son duo de fournisseurs. Or, il est établi, et non contesté, que le témoin a remis en gage son téléphone à l'appelant. L'appelant a également admis avoir été accompagné par un comparse lors de la</w:t>
      </w:r>
    </w:p>
    <w:p>
      <w:r>
        <w:t>- 11/19 - P/23294/2014 transaction qu'il reconnaît, contestant qu'il s'agissait d'C______. Toutefois, l'implication de ce dernier est confirmée par T______, lequel était livré par C______ lorsqu'il composait le numéro du "plan". Les dires de H______ concordent ainsi avec les éléments contenus dans la procédure. Il convient dès lors de retenir également la quantité indiquée de drogue que ledit témoin dit avoir reçue de l'appelant, quantité qu'il a articulée tant à la police qu'au Ministère public, à savoir cinq fois cinq grammes. La culpabilité de l'appelant du chef d'infraction à l'art. 19 al. 1 LStup sera partant confirmée dans la même mesure.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- 12/19 - P/23294/2014</w:t>
      </w:r>
    </w:p>
    <w:p>
      <w:r>
        <w:t>3.1.3.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t>3.1.4.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w:t>
      </w:r>
    </w:p>
    <w:p>
      <w:r>
        <w:t>3.1.5.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w:t>
      </w:r>
    </w:p>
    <w:p>
      <w:r>
        <w:rPr>
          <w:b/>
        </w:rPr>
        <w:t>E. 3.2</w:t>
      </w:r>
    </w:p>
    <w:p>
      <w:r>
        <w:t>Le premier juge a, à juste titre, qualifié la faute de l'appelant de lourde. Celui-ci s'est pleinement associé à la commission de quatre cambriolages, dont un est resté à l'étape de tentative. Ses agissements ont eu lieu dans un intervalle court. Il a également contribué à atteindre à la santé publique en participant à la vente d'héroïne, soit une drogue extrêmement dangereuse pour la santé de ses</w:t>
      </w:r>
    </w:p>
    <w:p>
      <w:r>
        <w:t>- 13/19 - P/23294/2014 consommateurs. Son rôle, dans ce dernier contexte, est toutefois limité, dans la mesure où les actes reprochés ne concernent qu'un seul consommateur et que le taux de pureté de la drogue est sans doute faible, vu sa vente au détail.</w:t>
      </w:r>
    </w:p>
    <w:p>
      <w:r>
        <w:t>Les mobiles sont égoïstes, l'appelant étant mu uniquement par l'appât du gain. Selon ses dires, il a de la famille prête à lui venir en aide, ce qui rend son comportement d'autant plus incompréhensible. Dans cette mesure, les regrets exprimés apparaissant être de pure circonstance. Un éventuel futur refus d'une demande de libération conditionnelle ne saurait peser d'une quelconque manière, les circonstances menant ou non à son octroi n'étant pas liées à la quotité de la peine infligée. Il sera rappelé que l'importance des différentes peines prononcées n'a cessé d'augmenter avec le temps.</w:t>
      </w:r>
    </w:p>
    <w:p>
      <w:r>
        <w:t>La collaboration de l'appelant est moyenne. Acculé par les preuves à charge, il a admis une partie des faits reprochés alors que la procédure atteignait un stade avancé. Il n'a par la suite cessé de minimiser sa faute, tentant de se justifier par l'agression subie lors de sa précédente détention et par l'attente du jugement de son auteur. Cette circonstance ne saurait toutefois constituer une quelconque justification des atteintes portées au patrimoine d'autrui, à la santé publique et à la législation sur les étrangers, étant précisé que l'évolution de son état de santé est bonne et que son activité n'a été interrompue que par son arrestation.</w:t>
      </w:r>
    </w:p>
    <w:p>
      <w:r>
        <w:t>Il y a concours d'infractions.</w:t>
      </w:r>
    </w:p>
    <w:p>
      <w:r>
        <w:t>Les antécédents de l'appelant sont nombreux, spécifiques et récents, celui-ci ayant récidivé moins d'un an après sa précédente condamnation, respectivement moins de deux mois après sa sortie de prison. Les circonstances apparaissant particulièrement défavorables, il ne saurait être question d'une quelconque forme de sursis, ce qui n'est pas contesté. Au vu de l'acquittement partiel de l'appelant, pour une tentative de vol, il convient de réduire la peine infligée par le premier juge, celle-ci étant pour le surplus adéquate et tenant compte de l'ensemble des éléments pertinents. En conclusion, la peine privative de liberté de deux ans sera réduite de deux mois pour tenir compte de l'acquittement prononcé en appel. Le jugement entrepris est réformé en conséquence.</w:t>
      </w:r>
    </w:p>
    <w:p>
      <w:r>
        <w:rPr>
          <w:b/>
        </w:rPr>
        <w:t>E. 4</w:t>
      </w:r>
    </w:p>
    <w:p>
      <w:r>
        <w:t>Les motifs ayant conduit le premier juge à prononcer, par ordonnance séparée du 11 juin 2015, le maintien de l'appelant en détention pour des motifs de sûreté sont toujours d'actualité, ce que celui-ci ne conteste au demeurant pas, de sorte que la mesure sera reconduite mutatis mutandis (ATF 139 IV 277 consid. 2.2 à 2.3).</w:t>
      </w:r>
    </w:p>
    <w:p>
      <w:r>
        <w:rPr>
          <w:b/>
        </w:rPr>
        <w:t>E. 5.1</w:t>
      </w:r>
    </w:p>
    <w:p>
      <w:r>
        <w:t>Selon les art. 426 al. 1 et 428 al. 1 CPP, les frais de la procédure de première instance - que la CPAR est tenue de revoir lorsqu'elle rend une nouvelle décision</w:t>
      </w:r>
    </w:p>
    <w:p>
      <w:r>
        <w:t>- 14/19 - P/23294/2014 (art. 428 al. 3 CPP) - et d'appel sont mis à la charge des parties dans la mesure où elles succombent.</w:t>
      </w:r>
    </w:p>
    <w:p>
      <w:r>
        <w:rPr>
          <w:b/>
        </w:rPr>
        <w:t>E. 5.2</w:t>
      </w:r>
    </w:p>
    <w:p>
      <w:r>
        <w:t>En l'espèce, il convient de laisser intacte la répartition des frais décidée par le premier juge dans la mesure où l'acquittement qui aurait dû être prononcé ne concernait qu'une faible part des infractions reprochées. En appel, l'intéressé n'obtient qu'une réduction marginale de peine en lien avec son acquittement pour l'un des deux infractions reprochées. Il supportera donc les quatre- cinquièmes des frais de la procédure envers l'État (art. 428 CPP), lesquels comprennent un émolument de jugement de CHF 2'000.- (art. 428 al. 1 CPP et art. 14 al. 1 let. e du Règlement fixant le tarif des frais en matière pénale [RTFMP - RS E 4 10.03]).</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w:t>
      </w:r>
    </w:p>
    <w:p>
      <w:r>
        <w:t>- 15/19 - P/23294/2014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6.2.4. Le temps de déplacement de l'avocat est considéré comme nécessaire pour la défense d'office au sens de l'art. 135 CPP (décision de la Cour des plaintes du Tribunal pénal fédéral BB.2015.33 du 28 juillet 2015 consid. 4.3 et les références</w:t>
      </w:r>
    </w:p>
    <w:p>
      <w:r>
        <w:t>- 16/19 - P/23294/2014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w:t>
      </w:r>
    </w:p>
    <w:p>
      <w:r>
        <w:rPr>
          <w:b/>
        </w:rPr>
        <w:t>E. 6.3</w:t>
      </w:r>
    </w:p>
    <w:p>
      <w:r>
        <w:t>En l'occurrence, considéré dans sa globalité, l'état de frais produit par le défenseur d'office de l'appelant paraît adéquat et conforme aux principes usuels, de sorte qu'il n'est pas nécessaire de reprendre le détail des postes qui le composent. Aussi, l'indemnité requise de CHF 1'650.- sera octroyée par 7 heures et 15 minutes d'activité, y compris la durée de l'audience, au tarif horaire de CHF 200.-, et le forfait vacation (CHF 50.-), plus la majoration forfaitaire de 10% et l'équivalent de la TVA au taux de 8% en CHF 132.-. * * * * *</w:t>
      </w:r>
    </w:p>
    <w:p>
      <w:r>
        <w:t>- 17/19 - P/23294/2014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