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AARP/513/2016 vom 16. Dezember 2016</w:t>
      </w:r>
    </w:p>
    <w:p>
      <w:r>
        <w:t>GE Cour de justice, 2016-12-16, FR</w:t>
      </w:r>
    </w:p>
    <w:p>
      <w:r>
        <w:rPr>
          <w:b/>
        </w:rPr>
        <w:t xml:space="preserve">Quelle: </w:t>
      </w:r>
      <w:r>
        <w:t>https://mcp.opencaselaw.ch/entscheid/ge_gerichte_AARP_513_2016</w:t>
      </w:r>
    </w:p>
    <w:p>
      <w:r>
        <w:t>FR: GE_GERICHTE AARP/513/2016 du 16 décembre 2016</w:t>
      </w:r>
    </w:p>
    <w:p>
      <w:r>
        <w:t>IT: GE_GERICHTE AARP/513/2016 del 16 dicembre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w:t>
      </w:r>
    </w:p>
    <w:p>
      <w:r>
        <w:t>La Chambre limite son examen aux violations décrites dans l'acte d'appel (art. 404 al. 1 CPP), sauf en cas de décisions illégales ou inéquitables (art. 404 al. 2 CPP).</w:t>
      </w:r>
    </w:p>
    <w:p>
      <w:r>
        <w:rPr>
          <w:b/>
        </w:rPr>
        <w:t>E. 2</w:t>
      </w:r>
    </w:p>
    <w:p>
      <w:r>
        <w:t>Il n'y a nul besoin de revenir sur la question de la recevabilité de l'appel joint de C______, traitée par la CPAR in corpore dans son ordonnance du 15 juillet 2016, à</w:t>
      </w:r>
    </w:p>
    <w:p>
      <w:r>
        <w:t>- 6/17 - P/964/2015 laquelle il est ici renvoyé. En substance, il faut admettre que le Ministère public, en ne donnant pas suite aux demandes de consultation du dossier émanant de C______, a commis un déni de justice formel qui a empêché la compagnie d'assurance de prendre connaissance de l'état de la procédure avant le prononcé du jugement de première instance. Le retard de son appel joint ne lui était par conséquent pas opposable.</w:t>
      </w:r>
    </w:p>
    <w:p>
      <w:r>
        <w:t>Partant, la demande de non-entrée en matière présentée par l'appelant principal sera écartée.</w:t>
      </w:r>
    </w:p>
    <w:p>
      <w:r>
        <w:rPr>
          <w:b/>
        </w:rPr>
        <w:t>E. 3.1</w:t>
      </w:r>
    </w:p>
    <w:p>
      <w:r>
        <w:t>En vertu de la jurisprudence du Tribunal fédéral, 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w:t>
      </w:r>
    </w:p>
    <w:p>
      <w:r>
        <w:rPr>
          <w:b/>
        </w:rPr>
        <w:t>E. 3.2</w:t>
      </w:r>
    </w:p>
    <w:p>
      <w:r>
        <w:t>En l'espèce, le rapport complémentaire de la BPTS contenant les photographies des traces et de la semelle a été versé au dossier deux mois avant le procès devant le Tribunal de police, de sorte que l'appelant principal disposait du temps nécessaire pour en prendre connaissance et intégrer cet élément à sa ligne de défense, ce qu'il a d'ailleurs fait. Il n'a ainsi subi aucun préjudice. C'est sans compter que le premier rapport de la BPTS du 16 janvier 2015 mentionnait déjà une identification formelle de sa semelle – certes sans la documenter – de sorte que l'appelant principal avait connaissance des éléments de preuve retenus contre lui à cette date déjà.</w:t>
      </w:r>
    </w:p>
    <w:p>
      <w:r>
        <w:t>Partant, aucune violation du droit d'être entendu ne peut être constatée.</w:t>
      </w:r>
    </w:p>
    <w:p>
      <w:r>
        <w:rPr>
          <w:b/>
        </w:rPr>
        <w:t>E. 4</w:t>
      </w:r>
    </w:p>
    <w:p>
      <w:r>
        <w:t>L'infraction de séjour illégal (art. 115 al. 1 let. b LEtr), dont la matérialité n'est pas contestée par l'appelant, est réalisée au regard des éléments du dossier. Le jugement entrepris sera dès lors confirmé sur ce point.</w:t>
      </w:r>
    </w:p>
    <w:p>
      <w:r>
        <w:rPr>
          <w:b/>
        </w:rPr>
        <w:t>E. 5.1</w:t>
      </w:r>
    </w:p>
    <w:p>
      <w:r>
        <w:t>Le principe in dubio pro reo, qui découle de la présomption d'innocence, garantie par l'art. 6 par.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w:t>
      </w:r>
    </w:p>
    <w:p>
      <w:r>
        <w:t>- 7/17 - P/964/2015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Les art. 137, 144 et 186 CP répriment les trois infractions constitutives de la commission d'un cambriolage. La tentative suppose que l'auteur réalise tous les éléments subjectifs de l'infraction de vol et qu'il manifeste sa décision de la commettre, mais sans en réaliser tous les éléments objectifs (ATF 120 IV 199 consid. 3e p. 206).</w:t>
      </w:r>
    </w:p>
    <w:p>
      <w:r>
        <w:t>5.2.1.1. Afin de déterminer la compatibilité d'une trace relevée sur le lieu d'un délit avec la semelle d'un prévenu, la BPTS compare les caractéristiques que présentent cette trace et la semelle afin d'examiner si la trace relevée a ou non pour origine la semelle à disposition. Plus les objets comparés présentent de similitudes (motifs, taille de ces motifs, marque de la semelle, usures inhérentes à la démarche du porteur, caractéristiques accidentelles telles que coupures, fragments arrachés, trous) plus ils peuvent être mis en relation. L'identification formelle d'une trace représente la valeur probante la plus haute sur les six catégories envisageables (exclusion, probablement pas, possible, probable, très probable, identification formelle). L'identification formelle est ainsi retenue lorsque la chaussure de comparaison possède des caractéristiques de fabrication identiques, des marques d'usure similaires et des particularités accidentelles concordantes avec cette trace, dont le nombre et/ou la clarté sont considérés comme suffisants (AARP/147/2014 du 15 mai 2015, consid. B.b.j.).</w:t>
      </w:r>
    </w:p>
    <w:p>
      <w:r>
        <w:t>5.2.1.2. Il n'y a pas lieu de remettre en question la conclusion à laquelle est parvenue la BPTS, qui démontre et documente, dans son rapport complémentaire du 26 mai 2015, les différents éléments qui l'ont conduite à attribuer la valeur probante la plus haute à cette correspondance. A cet égard, les photographies jointes au rapport sont explicites, même pour un œil non averti.</w:t>
      </w:r>
    </w:p>
    <w:p>
      <w:r>
        <w:t>- 8/17 - P/964/2015</w:t>
      </w:r>
    </w:p>
    <w:p>
      <w:r>
        <w:t>5.2.2. L'implication de l'appelant principal dans le cambriolage de l'appartement de D______ ne fait aucun doute, dès lors qu'une trace de sa semelle a été formellement identifiée sur les lieux et que les rétroactifs de son téléphone portable le signalaient à proximité immédiate, dans une tranche horaire compatible avec celle durant laquelle la tentative de vol a été commise. L'inconstance de ses déclarations au sujet de la date d'achat des baskets renforce cette conviction. Le modus operandi n'est pas à ce point spécifique qu'il fonderait, à lui seul, la culpabilité de l'appelant principal, mais il constitue un élément à charge.</w:t>
      </w:r>
    </w:p>
    <w:p>
      <w:r>
        <w:t>L'appartement de E______ a été cambriolé durant la même période que l'appartement de sa voisine et, qui plus est, selon le même mode opératoire. Ces circonstances sont suffisantes pour reléguer au plan du doute purement théorique l'hypothèse selon laquelle ce cambriolage commis dans un appartement voisin, dans des tranches horaires identiques, serait le fait de tiers. L'implication de l'appelant principal dans ce second cambriolage peut expliquer que sa présence dans le quartier, démontrée par les rétroactifs de son téléphone portable, ait duré près de deux heures. L'appelant a par ailleurs pu entrer dans l'appartement E______ sans y laisser de traces exploitables, voire y faire entrer d'autres que lui dans une action commune.</w:t>
      </w:r>
    </w:p>
    <w:p>
      <w:r>
        <w:t>Partant, le verdict de culpabilité, tel que retenu par le premier juge, sera confirmé, sans que la comparaison avec le classement décidé par le canton de Fribourg dans une cause similaire ne représente un frein. Chaque cause répond à des éléments de fait différents qui rendent toute comparaison délicate en plus du fait que la décision de justice du 18 août 2015 ne mentionne qu'une partie des éléments factuels pris en considération.</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w:t>
      </w:r>
    </w:p>
    <w:p>
      <w:r>
        <w:t>- 9/17 - P/964/2015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p. 226).</w:t>
      </w:r>
    </w:p>
    <w:p>
      <w:r>
        <w:t>6.2.1.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w:t>
      </w:r>
    </w:p>
    <w:p>
      <w:r>
        <w:t>6.2.2.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t>- 10/17 - P/964/2015</w:t>
      </w:r>
    </w:p>
    <w:p>
      <w:r>
        <w:t>6.2.3.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pp. 54-55 ; arrêt du Tribunal fédéral 6B_553/2014 du 24 avril 2015 consid. 3.5.1). En d'autres termes, la réduction devra être d'autant plus faible que le résultat était proche et ses conséquences graves.</w:t>
      </w:r>
    </w:p>
    <w:p>
      <w:r>
        <w:rPr>
          <w:b/>
        </w:rPr>
        <w:t>E. 6.3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w:t>
      </w:r>
    </w:p>
    <w:p>
      <w:r>
        <w:t>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t>Lorsque l'hypothèse visée par l'art. 42 al. 2 CP est réalisée, un sursis partiel au sens de l'art. 43 CP est également exclu (arrêt du Tribunal fédéral 6B_352/2014 précité).</w:t>
      </w:r>
    </w:p>
    <w:p>
      <w:r>
        <w:rPr>
          <w:b/>
        </w:rPr>
        <w:t>E. 6.4</w:t>
      </w:r>
    </w:p>
    <w:p>
      <w:r>
        <w:t>En l'espèce, la faute de l'appelant principal est de gravité moyenne. Agissant par appât du gain facile, il s'en est pris aux biens et à la sphère intime d'autrui, sans égard aux conséquences patrimoniales et psychologiques de ses actes pour ses victimes. Il sera tenu compte du fait qu'une infraction de vol est restée au stade de la tentative.</w:t>
      </w:r>
    </w:p>
    <w:p>
      <w:r>
        <w:t>L'infraction de séjour illégal est de moindre gravité.</w:t>
      </w:r>
    </w:p>
    <w:p>
      <w:r>
        <w:t>- 11/17 - P/964/2015</w:t>
      </w:r>
    </w:p>
    <w:p>
      <w:r>
        <w:t>La collaboration de l'appelant a été médiocre, celui-ci n'ayant de cesse de nier les faits, même confronté à des preuves scientifiques.</w:t>
      </w:r>
    </w:p>
    <w:p>
      <w:r>
        <w:t>Il a de très nombreux antécédents spécifiques qui s'échelonnent sur près de six années, ce qui dénote un fort ancrage dans la délinquance.</w:t>
      </w:r>
    </w:p>
    <w:p>
      <w:r>
        <w:t>Il y a concours d'infractions, facteur aggravant.</w:t>
      </w:r>
    </w:p>
    <w:p>
      <w:r>
        <w:t>Au vu de ce qui précède, la peine privative de liberté à laquelle l'appelant principal a été condamné en première instance doit être tenue pour adéquate, dans la mesure où elle correspond à sa faute et respecte les principes posés par l'art. 47 CP. Le jugement entrepris devrait donc être confirmé si l'appelant n'avait pas entretemps subi une nouvelle condamnation pour entrée illégale en Suisse. En application de l'art. 49 al. 2 CP, la peine sera ainsi fixée à sept mois de privation de liberté, dite peine étant complémentaire à celle prononcée par le Ministère public le 25 avril 2016 (3 mois de peine privative de liberté). En effet, s'il s'agissait de fixer une peine comprenant l'ensemble des faits reprochés, la sanction globale n'aurait pas dépassé dix mois de privation de liberté. Il s'impose en conséquence de réduire de deux mois la peine prononcée pour ne pas punir plus sévèrement l'appelant que s'il avait été jugé en une seule fois. Tant le sursis que le sursis partiel sont exclus (art. 42 al. 2 CP), ce que l'appelant n'a, avec raison, pas contesté, aucune circonstance particulièrement favorable ne pouvant être invoquée.</w:t>
      </w:r>
    </w:p>
    <w:p>
      <w:r>
        <w:rPr>
          <w:b/>
        </w:rPr>
        <w:t>E. 7</w:t>
      </w:r>
    </w:p>
    <w:p>
      <w:r>
        <w:t>7.1.1. Aux termes de l'art. 51 CP, le juge impute sur la peine la détention avant jugement subie par l'auteur dans le cadre de l'affaire qui vient d'être jugée ou d'une autre procédure. Un jour de détention correspond à un jour-amende ou à quatre heures de travail d'intérêt général.</w:t>
      </w:r>
    </w:p>
    <w:p>
      <w:r>
        <w:t>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w:t>
      </w:r>
    </w:p>
    <w:p>
      <w:r>
        <w:t>La jurisprudence relative à l'imputation sur la peine de la détention avant jugement vaut également en cas d'application de l'art. 429 al. 1 let. c CPP (arrêts du Tribunal fédéral 6B_431/2015 du 24 mars 2016 consid. 2.2 ; 6B_558/2013 du 13 décembre 2013 consid. 1.6 et 6B_169/2012 du 25 juin 2012 consid. 6). Il n'est pas nécessaire que l'infraction à l'origine de la condamnation soit celle ayant justifié la détention avant jugement. L'imputation au sens de l'art. 51 CP suppose uniquement qu'une des</w:t>
      </w:r>
    </w:p>
    <w:p>
      <w:r>
        <w:t>- 12/17 - P/964/2015 procédures pénales aboutisse à une condamnation (arrêt du Tribunal fédéral 6B_558/2013 du 13 décembre 2013 consid. 1.5 et 1.6).</w:t>
      </w:r>
    </w:p>
    <w:p>
      <w:r>
        <w:t>7.1.2. L'appelant a subi 286 jours de détention avant jugement, lesquels seront déduits des peines prononcées à son encontre, qui comprennent la condamnation le 25 avril 2016 à trois mois de privation de liberté [sept mois + trois mois, soit 300 jours], ce qui conduit à écarter les conclusions en indemnisation de l'appelant comme non fondées.</w:t>
      </w:r>
    </w:p>
    <w:p>
      <w:r>
        <w:rPr>
          <w:b/>
        </w:rPr>
        <w:t>E. 8.1</w:t>
      </w:r>
    </w:p>
    <w:p>
      <w:r>
        <w:t>L'art. 121 al. 2 CPP, qui fait partie de la section 3 du CPP, intitulée "Partie plaignante", prescrit que celui qui est subrogé par la loi aux droits du lésé n'est habilité qu'à introduire une action civile et ne peut se prévaloir que des droits de la procédure qui se rapportent directement aux conclusions civiles. Cette disposition règle le transfert de droits de procédure en faveur de personnes qui, sans être elles- mêmes des lésés, ont acquis de par la loi des droits à l'encontre de la personne poursuivie. Le législateur vise la figure juridique de la subrogation légale, à l'exclusion d'un transfert volontaire au sens de l'art. 164 CO, et se réfère à des tiers tels que l'Etat qui a versé des indemnités à la victime en application de la LAVI, ou encore l'assureur privé ou l'assureur accident étant intervenu en faveur du lésé en relation avec la commission de l'infraction notamment (ACPR/488/2012 du</w:t>
      </w:r>
    </w:p>
    <w:p>
      <w:r>
        <w:rPr>
          <w:b/>
        </w:rPr>
        <w:t>E. 8.2</w:t>
      </w:r>
    </w:p>
    <w:p>
      <w:r>
        <w:t>A teneur de l'art. 72 al. 1 de la loi sur le contrat d'assurance du 2 avril 1908 (LCA ; RS 221.229.1), les prétentions que l'ayant droit peut avoir contre des tiers en raison d'actes illicites passent à l'assureur jusqu'à concurrence de l'indemnité payée.</w:t>
      </w:r>
    </w:p>
    <w:p>
      <w:r>
        <w:rPr>
          <w:b/>
        </w:rPr>
        <w:t>E. 8.3</w:t>
      </w:r>
    </w:p>
    <w:p>
      <w:r>
        <w:t>Dans son acte du 30 novembre 2015, l'appelante jointe fait état d'un dommage de CHF 30'004.40, soit CHF 29'000.- remboursés à son assurée et CHF 1'004.40 de frais de réparation des fenêtres endommagées, dit dommage étant documenté.</w:t>
      </w:r>
    </w:p>
    <w:p>
      <w:r>
        <w:t>L'appelant principal sera donc condamné à verser le montant requis à l'appelante jointe. 9. L'appelant principal, qui succombe sinon pour des motifs formels, supportera les frais de la procédure envers l'Etat à raison de trois quarts, lesquels comprennent un émolument de CHF 2'500.-. (art. 428 CPP et 14 al. 1 du règlement fixant le tarif des frais en matière pénale du 22 décembre 2010 [RTFMP ; E 4.10.03]).</w:t>
      </w:r>
    </w:p>
    <w:p>
      <w:r>
        <w:t>- 13/17 - P/964/2015 10. 10.1.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w:t>
      </w:r>
    </w:p>
    <w:p>
      <w:r>
        <w:t>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65.- pour l'avocat-stagiaire (let. a) et de CHF 125.- pour le collaborateur (let. b.).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10.2.2. Les autorités cantonales jouissent d'une importante marge d'appréciation lorsqu'elles fixent, dans la procédure, la rémunération du défenseur d'office (ATF 141 I 124 consid. 3.2 pp. 126-127 et les références citées ; arrêts du Tribunal fédéral 6B_675/2015 précité consid. 3.1 et 6B_856/2014 du 10 juillet 2015 consid. 2.3 ; décision du Tribunal pénal fédéral BB.2015.85 du 12 avril 2016 consid. 3.2.3).</w:t>
      </w:r>
    </w:p>
    <w:p>
      <w:r>
        <w:t>10.2.3.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w:t>
      </w:r>
    </w:p>
    <w:p>
      <w:r>
        <w:t>Les communications et courriers divers sont en principe inclus dans le forfait (AARP/1______ du 16 juillet 2015 ; AARP/193/2015 du 27 avril 2015 ; AARP/55/2015 du 25 mars 2015 ; AARP/265/2014 du 6 juin 2014 ; AARP/501/2013</w:t>
      </w:r>
    </w:p>
    <w:p>
      <w:r>
        <w:t>- 14/17 - P/964/2015 du 28 octobre 2013) de même que d'autres documents ne nécessitant pas ou peu de motivation ou autre investissement particulier en termes de travail juridique, telles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t>10.3. Le décompte produit par le Conseil de l'appelant paraît adéquat, à l'exception des postes "Annonce d'appel" (5 minutes), "Déclaration d'appel" (60 minutes) et "Courrier à la CPAR re : procédure écrite" (30 minutes), qui sont inclus dans le forfait.</w:t>
      </w:r>
    </w:p>
    <w:p>
      <w:r>
        <w:t>En conclusion, l'indemnité sera arrêtée à CHF 2'560.25 correspondant à 17.58 heures d'activité de collaborateur, au tarif de CHF 125.-/heure, et deux heures d'activité de stagiaire au tarif de CHF 65.-/heure, plus la majoration forfaitaire de 10%, compte tenu de l'activité déployée en première instance, sans TVA à laquelle son Conseil n'est pas assujetti.</w:t>
      </w:r>
    </w:p>
    <w:p>
      <w:r>
        <w:t>* * * * *</w:t>
      </w:r>
    </w:p>
    <w:p>
      <w:r>
        <w:t>- 15/17 - P/964/2015</w:t>
      </w:r>
    </w:p>
    <w:p>
      <w:r>
        <w:rPr>
          <w:b/>
        </w:rPr>
        <w:t>E. 13</w:t>
      </w:r>
    </w:p>
    <w:p>
      <w:r>
        <w:t>novembre 2012 ; A. KUHN / Y. JEANNERET (éds), Commentaire romand : Code de procédure pénale suisse, Bâle 2011, n. 12 ad art. 121). Dans ces cas, les ayants droit peuvent faire valoir leurs conclusions civiles dans le cadre du procès pénal. Toutefois, ils ne jouissent que des droits de procédure nécessaires pour faire avaliser les conclusions civiles. Concrètement, cela signifie, par exemple, qu'ils ne peuvent consulter que les pièces qui leur sont nécessaires pour motiver l'action civile (Message relatif à l’unification du droit de la procédure pénale du 21 décembre 2005, FF 2006 p. 1151).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