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AARP/510/2013 vom 10. Oktober 2013</w:t>
      </w:r>
    </w:p>
    <w:p>
      <w:r>
        <w:t>GE Cour de justice, 2013-10-10, FR</w:t>
      </w:r>
    </w:p>
    <w:p>
      <w:r>
        <w:rPr>
          <w:b/>
        </w:rPr>
        <w:t xml:space="preserve">Quelle: </w:t>
      </w:r>
      <w:r>
        <w:t>https://mcp.opencaselaw.ch/entscheid/ge_gerichte_AARP_510_2013</w:t>
      </w:r>
    </w:p>
    <w:p>
      <w:r>
        <w:t>FR: GE_GERICHTE AARP/510/2013 du 10 octobre 2013</w:t>
      </w:r>
    </w:p>
    <w:p>
      <w:r>
        <w:t>IT: GE_GERICHTE AARP/510/2013 del 10 ottobre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 2 de la Convention de sauvegarde des droits de l’homme et des libertés fondamentales, du 4 novembre 1950 (CEDH ; RS 0.101) et,</w:t>
      </w:r>
    </w:p>
    <w:p>
      <w:r>
        <w:t>- 10/17 - P/7753/2012 sur le plan interne, par l'art. 32 al. 1 Cst.,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124 IV 86 consid. 2a p. 87 s, 127 I 38 consid. 2a p. 41). 2.1.2 Selon l'art. 140 ch. 1 al. 1 CP, se rend coupable de brigandage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employés par l'auteur (ATF 124 IV 102 consid. 2 p. 104). Ainsi, à la différence du voleur, qui agit clandestinement, par ruse ou par surprise, l'auteur recourt à la contrainte pour soustraire la chose d'autrui. Le brigandage n'est donc pas exclusivement une infraction contre le patrimoine, mais aussi contre la liberté, ce qui explique qu'elle soit plus sévèrement réprimée (ATF 133 IV 297 consid. 4.1 p. 300; 129 IV 61 consid. 2.1 p. 63). Sur le plan subjectif, l’intention doit porter sur tous les éléments constitutifs, c’est-à- 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B. CORBOZ, Les infractions en droit suisse, vol. I, Berne 2010, n. 10 et 11 ad art. 140 CP). 2.2.1 En l'espèce, l’appelante ne querelle pas le jugement entrepris en tant qu’il l’a reconnue coupable de brigandage au préjudice de C______. Conforme aux éléments</w:t>
      </w:r>
    </w:p>
    <w:p>
      <w:r>
        <w:t>- 11/17 - P/7753/2012 du dossier et consacrant une application correcte du droit, le verdict de culpabilité sera confirmé sur ce point. 2.2.2 L’appelante conteste en revanche avoir tiré sur la sacoche que A______ portait en bandoulière, avoir fait tomber celle-ci au sol et s’être emparée des espèces (CHF 400.-) qui s’étaient répandues au sol. Ses dénégations, bien que constantes, n’emportent pas la conviction. Il ressort des déclarations, sur ce point concordantes, de A______, de X______ et de D______ que ces trois personnes se sont rencontrées le 19 décembre 2012 à la gare de Cornavin. Elles ont ensuite emprunté les transports publics pour se rendre à Plainpalais. Sur place, A______ a acheté une boulette de cocaïne qu’elle n’a pas voulu partager avec les deux autres et auxquels elle a remis, ou voulu remettre, en guise de récompense, de l’héroïne. A______ et D______ ont tous deux indiqué que X______, qui fâchée de ne pas pouvoir consommer la cocaïne achetée par A______, s’est emportée et a tiré sur le sac que cette dernière portait en bandoulière. Elle n’a pas réussi à l’arracher mais le sac s’est déchiré et son contenu est tombé par terre. Même si les déclarations de la partie plaignante et du témoin ne sont pas en tous points identiques, elles concordent pour l’essentiel. L’appelante a d’ailleurs admis qu’elle n’avait pas apprécié que A______ lui offre de l’héroïne, qu’elle ne consommait plus, à la place de la cocaïne. Aucun élément du dossier ne permet de retenir que A______ et D______ auraient menti par jalousie ou ourdi un complot pour porter préjudice à X______ et le seul fait qu’ils soient tous toxicomanes n’est pas non plus un motif pour considérer que leurs témoignages n’ont pas de valeur probante. On ne décèle pas non plus dans le témoignage de D______, qui a précisé que X______ s’en était par la suite voulue d’avoir agressé A______, la volonté de « charger » l’appelante, ce témoin ayant encore indiqué n’avoir pas vu X______ prendre de l’argent. A l’instar du brigandage commis au préjudice de C______, l’agression de A______ a aussi pour origine la dépendance à la cocaïne. Il sera encore observé que la réaction de X______ face au refus de A______ de partager la cocaïne qu’elle venait d’acheter est compatible avec les conclusions de l’expert psychiatre, qui a retenu que l’intéressée avait une tendance nette à agir de façon impulsive et sans considération pour les conséquences possibles, avec une tolérance minime à la frustration ou à la contradiction. A______ a déclaré de manière constante que X______ s’était emparée de l’argent qui se trouvait à l’intérieur de la pochette déchirée, soit CHF 400.-, étant précisé qu’il est établi par le dossier que la partie plaignante avait reçu la veille un montant de CHF 780.- en espèces de la part des services tutélaires. Au vu de ces éléments, la Cour considère, à l’instar des premiers juges, que les faits dénoncés par A______ et confirmés par le témoin D______ sont établis à satisfaction</w:t>
      </w:r>
    </w:p>
    <w:p>
      <w:r>
        <w:t>- 12/17 - P/7753/2012 de droit. Le fait que X______ eût été en possession de plusieurs centaines de francs le 18 décembre 2012, ce que la quittance, anonyme, qu’elle a produite devant la Chambre de céans n’établit pas, ne modifie pas cette conclusion, dès lors que l’agression de A______ trouve davantage son origine dans la frustration et la colère que dans la nécessité de se procurer de l’argent. En tirant sur le sac porté par A______ en bandoulière, en la faisant tomber puis en s’emparant des espèces qui se sont répandues sur la chaussée, l’appelante s’est rendue coupable de brigandage. Le verdict de culpabilité prononcé par le Tribunal correctionnel sera ainsi entièrement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63a CP et la jurisprudence élaborée en application de cette ancienne disposition conserve toute sa valeur, de sorte que l'on peut continuer à s'y référer (arrêt du Tribunal fédéral 6B_992/2008 du 5 mars 2009 consid. 5.1). 3.2.1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3.2.2 Si les conditions d'application de l'une ou l'autre des mesures prévues aux articles 56 et suivants CP sont remplies, en particulier une mesure thérapeutique institutionnelle (art. 59 CP) ou un traitement ambulatoire (art. 63 CP), le pronostic déterminant pour l'octroi du sursis est nécessairement négatif, puisque le prononcé de</w:t>
      </w:r>
    </w:p>
    <w:p>
      <w:r>
        <w:t>- 13/17 - P/7753/2012 ces mesures suppose un risque de récidive (cf. art. 56 al. 1 let. a CP). Les conditions du sursis, intégral ou partiel, ne sont donc pas remplies, de sorte qu’une peine ferme doit être prononcée (arrêts du Tribunal fédéral 6B_268/2008 du 2 mars 2009 consid.</w:t>
      </w:r>
    </w:p>
    <w:p>
      <w:r>
        <w:rPr>
          <w:b/>
        </w:rPr>
        <w:t>E. 3.5</w:t>
      </w:r>
    </w:p>
    <w:p>
      <w:r>
        <w:t>En ce qui concerne la mesure, l’expert a indiqué que le risque de récidive pouvait être partiellement maîtrisé par la mise en place d’un traitement spécialisé. Il a ajouté que ce traitement devait consister en un suivi des troubles psychiques et de ceux liés aux addictions et a conclu au prononcé d’un traitement institutionnel. Cela étant, en cas de placement dans un établissement en vue de soigner des addictions, le juge ne peut faire abstraction de la demande et de la motivation de l’auteur (cf. art. 60 al. 2 CP). Or, il est constant que l’appelante n’est aucunement motivée à suivre un programme dans un cadre institutionnel, ce qu’elle a confirmé devant la Chambre de céans, et n’a du reste entrepris aucune démarche concrète en vue de son admission dans un établissement spécialisé comme la FONDATION LES OLIVIERS. Il ressort d’ailleurs du rapport du SPI du 18 décembre 2012 que l’appelante conteste tout encadrement qui lui est imposé, refusant de se conformer aux quelques règles élémentaires de la vie communautaire, et adopte une attitude d’opposition tant à l’égard du personnel que des autres pensionnaires. Dans ces conditions, un traitement institutionnel en milieu ouvert n’est pas adapté et apparaît d’emblée voué à l’échec. Il s’impose par conséquent d’ordonner un suivi ambulatoire, que l’expert a aussi envisagé, sous la forme d’un suivi des addictions et psychiatrique, tant médicamenteux que psychothérapeutique, lequel devra comprendre des contrôles toxicologiques aléatoires en vue de vérifier l’abstinence aux stupéfiants. Compatible avec l’exécution de la peine selon les conclusions de l’expertise, ce traitement devra normalement être poursuivi après la sortie de l’appelante de prison aux conditions de l’art. 63 al. 4 CP, dès lors que sa durée, qui ne coïncide pas avec celle de la peine privative de liberté, obéit à d’autres critères. Le jugement entrepris sera réformé sur ce point. 4. L’appelante, qui succombe partiellement, supportera la moitié des frais de la procédure d’appel, le solde étant laissé à la charge de l’Etat (art. 428 CPP). * * * * *</w:t>
      </w:r>
    </w:p>
    <w:p>
      <w:r>
        <w:t>- 16/17 - P/7753/2012</w:t>
      </w:r>
    </w:p>
    <w:p>
      <w:r>
        <w:rPr>
          <w:b/>
        </w:rPr>
        <w:t>E. 6</w:t>
      </w:r>
    </w:p>
    <w:p>
      <w:r>
        <w:t>et 6B_769/2008 du 18 juin 2009 consid. 2.3). 3.3.1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Au terme de l'art. 57 al. 1 et 2 CP, si les conditions sont remplies aussi bien pour le prononcé d’une peine que pour celui d’une mesure, le juge ordonne les deux sanctions (al. 1). 3.3.2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p. 321 ; arrêt du Tribunal fédéral 6B_77/2012 du 18 juin 2012 consid. 2.1.2). Un traitement institutionnel peut aussi être ordonné si l’auteur est toxicodépendant ou souffre d’une autre addiction, s’il a commis un crime ou un délit en relation avec ce trouble et qu’il est à prévoir que ce traitement le détournera d’autres infractions en relation avec cette addiction (art. 60 al 1 CP). Au moment de prononcer la mesure, le juge tient compte de la demande et de la motivation de l’auteur (art. 60 al. 2 CP). 3.3.3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w:t>
      </w:r>
    </w:p>
    <w:p>
      <w:r>
        <w:t>- 14/17 - P/7753/2012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Si la peine n’est pas compatible avec le traitement, le juge peut suspendre, au profit du traitement ambulatoire, l’exécution d’une peine privative de liberté ferme prononcée en même temps que le traitement. Il peut ordonner une assistance de probation et imposer des règles de conduite pendant la durée du traitement (art. 63 al. 2 CP). Le traitement ambulatoire ne peut en règle générale excéder cinq ans (al. 4). 3.4.1 En l'espèce, la faute de l'appelante est lourde. Elle n’a pas hésité à menacer avec un couteau une voisine âgée, qu’elle connaissait de longue date et qui l’avait aidée par le passé, et à l’enfermer dans les toilettes, afin de s’emparer de quelques objets et valeurs. A peine quelques mois plus tard et alors qu’elle se trouvait en liberté provisoire, elle s’en est prise à une toxicomane en tirant sur son sac et en la faisant tomber pour ensuite lui dérober CHF 400.-. Elle a agi par appât d’un gain facile à obtenir, dans le but égoïste d’assouvir sa dépendance à la cocaïne. Si elle a reconnu rapidement les faits commis au préjudice de C______, l’appelante a continué à nier avoir fait usage de violence à l’encontre de A______ et lui avoir dérobé de l’argent. Sa prise de conscience est donc imparfaite. Aucune circonstance atténuante n’est plaidée ni réalisée et, nonobstant la présence d’un grave trouble mental et d’une polytoxicomanie, la responsabilité de l’appelante est entière aux dires d’expert, ce qui n’est pas contesté. L’appelante, qui a été condamnée en 2003, en 2008 et en 2010, a des antécédents de violence pour avoir déjà été reconnue coupable de voies de fait et de lésions corporelles simples. La décision des premiers juges de condamner l’appelante à une peine privative de liberté de 24 mois consacre ainsi une application correcte des critères de l’art. 47 CP et sera par conséquent confirmée. 3.4.2 L’expert a retenu qu’en raison des troubles dont souffre l’appelante, il était probable qu’elle puisse commettre à nouveau des infractions de même nature que celles faisant l'objet de la présente procédure. Vu le risque de récidive retenu par l’expert et les antécédents de l’appelante, et en application de la jurisprudence citée ci-dessus, il y a lieu de retenir que le pronostic d’avenir est concrètement défavorable et que, par conséquent, les conditions fixées au prononcé d’un sursis, total ou partiel, ne sont pas remplies, de sorte qu’une peine</w:t>
      </w:r>
    </w:p>
    <w:p>
      <w:r>
        <w:t>- 15/17 - P/7753/2012 ferme doit être prononcée. La décision du Tribunal correctionnel sera également confirmée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