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AARP/50/2016 vom 8. Februar 2016</w:t>
      </w:r>
    </w:p>
    <w:p>
      <w:r>
        <w:t>GE Cour de justice, 2016-02-08, FR</w:t>
      </w:r>
    </w:p>
    <w:p>
      <w:r>
        <w:rPr>
          <w:b/>
        </w:rPr>
        <w:t xml:space="preserve">Quelle: </w:t>
      </w:r>
      <w:r>
        <w:t>https://mcp.opencaselaw.ch/entscheid/ge_gerichte_AARP_50_2016</w:t>
      </w:r>
    </w:p>
    <w:p>
      <w:r>
        <w:t>FR: GE_GERICHTE AARP/50/2016 du 8 février 2016</w:t>
      </w:r>
    </w:p>
    <w:p>
      <w:r>
        <w:t>IT: GE_GERICHTE AARP/50/2016 del 8 febbraio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w:t>
      </w:r>
    </w:p>
    <w:p>
      <w:r>
        <w:t>- 6/12 - P/20335/2014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En vertu de l'art. 389 CPP, la procédure d'appel se fonde sur les preuves administrées pendant la procédure préliminaire et la procédure de première instance (al. 1) et que l'administration des preuves par le tribunal de première instance n'est répétée que si a) les dispositions en matière de preuve ont été enfreintes, b) l'administration des preuves était incomplète ou c) les pièces relatives à l'administration des preuves ne semblent pas fiables (al. 2), étant toutefois précisé que l'autorité d'appel peut administrer, d'office ou à la demande d'une partie, les preuves complémentaires nécessaires au traitement de l'appel (al. 3). En outre, il n'y a pas lieu d'administrer des preuves sur des faits non pertinents, notoires, connus de l'autorité pénale ou déjà suffisamment prouvés (art. 139 al. 2 CPP).</w:t>
      </w:r>
    </w:p>
    <w:p>
      <w:r>
        <w:rPr>
          <w:b/>
        </w:rPr>
        <w:t>E. 2.2</w:t>
      </w:r>
    </w:p>
    <w:p>
      <w:r>
        <w:t>La preuve dont l'appelant requiert l'administration n'est pas indispensable à l'instruction de la cause à décharge, dans la mesure où même s'il s'avérait que le profil de l'intimé n'est pas présent sur le cellophane entourant la drogue, cela ne signifierait pas encore qu'il ne l'a jamais détenue. Il est en effet constant que des traces ne sont pas toujours déposées ou peuvent disparaître.</w:t>
      </w:r>
    </w:p>
    <w:p>
      <w:r>
        <w:t>La réquisition de preuve formulée par l'intimé est rejetée.</w:t>
      </w:r>
    </w:p>
    <w:p>
      <w:r>
        <w:rPr>
          <w:b/>
        </w:rPr>
        <w:t>E. 3.1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w:t>
      </w:r>
    </w:p>
    <w:p>
      <w:r>
        <w:t>- 7/12 - P/20335/2014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w:t>
      </w:r>
    </w:p>
    <w:p>
      <w:r>
        <w:rPr>
          <w:b/>
        </w:rPr>
        <w:t>E. 3.2</w:t>
      </w:r>
    </w:p>
    <w:p>
      <w:r>
        <w:t>Force est de constater en l'occurrence qu'il ne peut être tenu pour établi au-delà de tout doute raisonnable que la drogue retrouvée dissimulée sous le siège du véhicule de police aussitôt après le transport de l'intimé y a été déposée par celui-ci. L'intimé est censé avoir été dûment fouillé avant de monter dans la voiture, et il était menotté, les mains dans le dos, de sorte que la manœuvre qui lui est attribuée aurait été en tout état difficile. L'affirmation du gendarme selon laquelle la drogue pouvait avoir échappé au contrôle, parce que les poches de la veste de l'intimé n'avaient pas été examinées, doit être écartée puisque rien ne permet de retenir que veste il y a eu, sans préjudice du fait que l'on ne voit pas comment l'intéressé aurait pu atteindre une poche, les mains attachées dans le dos. La théorie du MP selon laquelle la substance aurait été cachée dans la manche de l'intimé, qui serait ensuite parvenu à la faire glisser jusque dans ses mains puis dans la fente de la banquette arrière est moins invraisemblable mais néanmoins théorique. Elle n'est en tout cas pas plus crédible que l'hypothèse de l'innocence de l'intimé.</w:t>
      </w:r>
    </w:p>
    <w:p>
      <w:r>
        <w:t>Certes, il reste que les gendarmes ont trouvé la drogue aussitôt après le transport litigieux, mais nonobstant les protestations du policier entendu comme témoin, il ne peut être exclu qu'elle y ait été laissée par une personne transportée avant l'intimé, étant rappelé que celui-ci a été interpellé à 17h13 alors que la voiture était en fonction depuis midi et que les gendarmes en patrouille avaient entrepris d'effectuer des contrôles de personnes, de sorte que plusieurs individus ont pu y prendre place successivement. Contrairement à ce que soutient le MP, ce n'est pas juger que ce témoin serait parjure que d'admettre qu'il a pu commettre une erreur, en omettant une fouille, ou en y procédant de façon un peu superficielle ou distraite, d'autant plus qu'il s'agit d'une manœuvre de routine. Comme le fait observer l'intimé, on ne peut en tout cas tenir pour certain qu'entendu un mois après les faits, le gendarme avait un souvenir précis du déroulement de la journée. Il semble d'ailleurs bien s'être trompé au sujet de la veste et ne se rappelait plus si les manches de l'intimé avaient été fouillées ou non.</w:t>
      </w:r>
    </w:p>
    <w:p>
      <w:r>
        <w:t>La seule présence de l'intimé dans un quartier qui est certes notoirement le théâtre de trafics divers n'est en aucun cas un indice probant. L'absence d'antécédents spécifiques de l'intéressé, alors qu'il séjourne en Suisse depuis plusieurs années, est autrement plus significatif.</w:t>
      </w:r>
    </w:p>
    <w:p>
      <w:r>
        <w:t>- 8/12 - P/20335/2014</w:t>
      </w:r>
    </w:p>
    <w:p>
      <w:r>
        <w:t>Aussi, il faut retenir que l'acquittement de l'intimé procède d'une correcte application du principe in dubio por reo de sorte que l'appel du MP est rejeté et le verdict d'acquittement du chef d'infraction à la LStup confirmé</w:t>
      </w:r>
    </w:p>
    <w:p>
      <w:r>
        <w:rPr>
          <w:b/>
        </w:rPr>
        <w:t>E. 4.1</w:t>
      </w:r>
    </w:p>
    <w:p>
      <w:r>
        <w:t>Aux termes de l'art. 404 CPP la juridiction d'appel n'examine que les points attaqués du jugement de première instance (al. 1). Elle peut toutefois examiner en faveur du prévenu des points du jugement qui ne sont pas attaqués, afin de prévenir des décisions illégales ou inéquitables (al. 2). L'art. 404 al. 2 CPP doit être appliqué avec retenue, sous peine de vider de sa substance la portée des art. 399 al. 3 et al. 4 et 404 al. 1 CPP. L'autorité d'appel n'a ainsi pas à rechercher si des erreurs dans l'application du droit ont été commises par le juge précédent ou à examiner des questions juridiques qui ne se posent pas à elle. Si l'autorité d'appel décide de faire usage de la possibilité prévue par l'art. 404 al. 2 CPP, elle doit en informer préalablement les participants à la procédure et leur donner l'occasion de se déterminer (arrêts 6B_419/2014 du 9 janvier 2014 consid. 2.3, 6B_1146/2013 du 3 juin 2014 consid. 2.1 ainsi que les références citées).</w:t>
      </w:r>
    </w:p>
    <w:p>
      <w:r>
        <w:rPr>
          <w:b/>
        </w:rPr>
        <w:t>E. 4.2</w:t>
      </w:r>
    </w:p>
    <w:p>
      <w:r>
        <w:t>Par arrêté fédéral du 18 juin 2010 (RO 2010 5925), la Suisse a repris la Directive du Parlement européen et du Conseil du 16 décembre 2008 relative aux normes et procédures communes applicables dans les États membres au retour des ressortissants de pays tiers en séjour irrégulier (Directive sur le retour 2008/115/CE). Pour le Tribunal fédéral, il convient d'appliquer l'art. 115 LEtr en considération de la jurisprudence de la Cour de justice de l'Union européenne (ci-après : la CJUE) relative à cette directive, sans quoi la participation de la Suisse à Schengen pourrait être menacée (arrêts du Tribunal fédéral 6B_525/2014 du 9 octobre 2014 consid. 1.1 et les références citées ; 6B_196/2012 du 24 janvier 2013 consid. 2.1; 6B_173/2013 du 19 août 2013. consid. 1.1 à 1.4). D'après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6B_139/2014 du 5 août 2014 consid. 2 ; 6B_173/2013 du 19 août 2013 consid. 1.4 ; 6B_196/2012 du 24 janvier 2013 consid. 2.1.3 et 2.2 ; 6B_188/2012 du 17 avril 2012 consid. 5). Dans d'autres arrêts, le Tribunal fédéral a souligné qu'une sanction pénale pour séjour illicite n'entrait en considération que si le renvoi était objectivement possible et qu'une procédure administrative de renvoi avait été engagée et qu'elle apparaissait d'emblée comme dénuée de toute chance de succès (arrêt du Tribunal fédéral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(arrêt du Tribunal fédéral 6B_713/2012 du 19 avril 2013 consid. 5).</w:t>
      </w:r>
    </w:p>
    <w:p>
      <w:r>
        <w:t>- 9/12 - P/20335/2014 Conformément à cette jurisprudence, la CPAR a jugé qu'une peine d'emprisonnement pour séjour illégal ne pouvait être infligée à un ressortissant étranger que si la procédure administrative de renvoi avait été menée à son terme sans succès et que le ressortissant étranger demeurait sur le territoire sans motif justifié de non-retour. Dans un arrêt non publié 6B_1172/2014 du 23 novembre 2015, le Tribunal fédéral a retenu qu'aussi longtemps qu'une procédure administrative de renvoi n'avait pas été menée à terme, le cas échéant en ayant recours aux mesures de contrainte prévues par la loi fédérale sur les étrangers, une peine pécuniaire ne pouvait pas non plus être infligée, l'acquittement devant ainsi être prononcé. La CPAR n'a pu que se rallier à cette jurisprudence, même s'il n'est pas nécessairement manifeste qu'une peine pécuniaire puisse entraver une procédure de retour au même titre qu'une peine d'emprisonnement ni que l'impossibilité d'infliger l'une ou l'autre de ces deux sanctions doive aboutir à un acquittement, plutôt qu'à une exemption de peine (AARP/31/2016 du 2 février 2016 consid. 2.1.2).</w:t>
      </w:r>
    </w:p>
    <w:p>
      <w:r>
        <w:rPr>
          <w:b/>
        </w:rPr>
        <w:t>E. 4.3</w:t>
      </w:r>
    </w:p>
    <w:p>
      <w:r>
        <w:t>L'intimé, qui n'a pas interjeté appel ou appel joint, requiert néanmoins que la Cour de céans réexamine sa condamnation du chef de violation de la LEtr, estimant que celle-ci est illégale, au sens de l'art. 404 al. 2 CPP, au regard de la dernière jurisprudence du Tribunal fédéral précitée. Le MP ne s'est certes pas prononcé sur ce point lors des débats d'appel, mais il aurait pu le faire au cours de son réquisitoire, l'intimé ayant annoncé le moyen à l'ouverture des débats, ou à l'occasion d'une réplique, qu'il n'a pas demandée. Il peut donc être entré en matière.</w:t>
      </w:r>
    </w:p>
    <w:p>
      <w:r>
        <w:t>À lire la jurisprudence précitée, on ne saurait se contenter, comme l'a fait le premier juge, de constater que l'intimé est seul responsable de ce que les autorités administratives n'ont pu procéder à son renvoi, pour avoir quitté le foyer de requérants d'asile sans laisser une adresse à laquelle il pourrait être contacté. Encore aurait-il fallu que des mesures soient prises, en vue de retrouver sa trace puis de le retenir en détention administrative jusqu'à son renvoi. D'ailleurs, les informations données par le Service de la population vaudois au MP sont révélatrices de la passivité des autorités. Dans la mesure où une correcte application de la jurisprudence dont se prévaut l'intimé conduirait à son acquittement, nonobstant les hésitations de la CPAR sus-évoquées, il faut admettre que la décision contraire du Tribunal de police est inéquitable, de sorte qu'il y a lieu de la réformer d'office, en application de l'art. 404 al. 2 CPP.</w:t>
      </w:r>
    </w:p>
    <w:p>
      <w:r>
        <w:t>Le jugement litigieux sera par conséquent réformé d'office et l'intimé acquitté du chef de violation de la LEtr.</w:t>
      </w:r>
    </w:p>
    <w:p>
      <w:r>
        <w:t>- 10/12 - P/20335/2014</w:t>
      </w:r>
    </w:p>
    <w:p>
      <w:r>
        <w:rPr>
          <w:b/>
        </w:rPr>
        <w:t>E. 5</w:t>
      </w:r>
    </w:p>
    <w:p>
      <w:r>
        <w:t>Vu l'issue de la procédure, la CPAR doit encore examiner d'office la question d'une éventuelle indemnisation de l'intimé, en application de l'art. 429 CPP. Sur la base des éléments du dossier, il appert que le seul préjudice subi par celui-ci du fait de la procédure a trait au tort moral découlant de la détention provisoire, laquelle a duré deux jours. Conformément à la jurisprudence (arrêts du Tribunal fédéral 6B_437/2014 du 29 décembre 2014 consid. 3 ; 6B_133/2014 du 18 septembre 2014 consid. 3.2 et les arrêts cités), un montant de CHF 400.- lui est dès lors alloué.</w:t>
      </w:r>
    </w:p>
    <w:p>
      <w:r>
        <w:rPr>
          <w:b/>
        </w:rPr>
        <w:t>E. 6</w:t>
      </w:r>
    </w:p>
    <w:p>
      <w:r>
        <w:t>L'appel ayant été admis, il n'est pas perçu de frais (art. 428 CPP a contrario).</w:t>
      </w:r>
    </w:p>
    <w:p>
      <w:r>
        <w:rPr>
          <w:b/>
        </w:rPr>
        <w:t>E. 7.1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7.2.1.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7.2.2. À teneur de la jurisprudence, est décisif pour fixer la rémunération de l'avocat le nombre d'heures nécessaires pour assurer la défense d'office du prévenu (arrêt du Tribunal fédéral 2C_509/2007 du 19 novembre 2007 consid. 4).</w:t>
      </w:r>
    </w:p>
    <w:p>
      <w:r>
        <w:rPr>
          <w:b/>
        </w:rPr>
        <w:t>E. 7.3</w:t>
      </w:r>
    </w:p>
    <w:p>
      <w:r>
        <w:t>En l'occurrence, l'activité décrite lors des débats d'appel par le défenseur d'office est raisonnable et conforme aux principes développés en application des dispositions qui précèdent.</w:t>
      </w:r>
    </w:p>
    <w:p>
      <w:r>
        <w:t>Il convient partant d'arrêter l'indemnité due à Me B______ à CHF 520.- (arrondi ; majoration forfaitaire de 20% et TVA au taux de 8% comprises). * * * * *</w:t>
      </w:r>
    </w:p>
    <w:p>
      <w:r>
        <w:t>- 11/12 - P/20335/2014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