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AARP/508/2016 vom 7. Dezember 2016</w:t>
      </w:r>
    </w:p>
    <w:p>
      <w:r>
        <w:t>GE Cour de justice, 2016-12-07, FR</w:t>
      </w:r>
    </w:p>
    <w:p>
      <w:r>
        <w:rPr>
          <w:b/>
        </w:rPr>
        <w:t xml:space="preserve">Quelle: </w:t>
      </w:r>
      <w:r>
        <w:t>https://mcp.opencaselaw.ch/entscheid/ge_gerichte_AARP_508_2016</w:t>
      </w:r>
    </w:p>
    <w:p>
      <w:r>
        <w:t>FR: GE_GERICHTE AARP/508/2016 du 7 décembre 2016</w:t>
      </w:r>
    </w:p>
    <w:p>
      <w:r>
        <w:t>IT: GE_GERICHTE AARP/508/2016 del 7 dicembre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notamment la quotité de la peine (let. b).</w:t>
      </w:r>
    </w:p>
    <w:p>
      <w:r>
        <w:t>La Chambre limite son examen aux violations décrites dans l'acte d'appel (art. 404 al. 1 CPP), sauf en cas de décisions illégales ou inéquitables (art. 404 al. 2 CPP).</w:t>
      </w:r>
    </w:p>
    <w:p>
      <w:r>
        <w:rPr>
          <w:b/>
        </w:rPr>
        <w:t>E. 2</w:t>
      </w:r>
    </w:p>
    <w:p>
      <w:r>
        <w:t>2.1.1. Selon l'art. 90 al. 2 LCR, celui qui, par une violation grave d'une règle de la circulation, crée un sérieux danger pour la sécurité d'autrui ou en prend le risque est puni d'une peine privative de liberté de trois ans au plus ou d'une peine pécuniaire, celle-ci pouvant aller jusqu'à 360 jours-amende. 2.1.2. Selon l'art. 47 du code pénal suisse du 21 décembre 1937 (CP ; RS 311.0), le juge fixe la peine d'après la culpabilité de l'auteur.</w:t>
      </w:r>
    </w:p>
    <w:p>
      <w:r>
        <w:t>- 5/8 - P/1444/2015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2.1.3. Dans le domaine des excès de vitesse, la jurisprudence, afin d'assurer l'égalité de traitement, a été amenée à fixer des règles précises. Ainsi, le cas est objectivement grave, c'est-à-dire sans égard aux circonstances concrètes, notamment en cas de dépassement de la vitesse autorisée de 35 km/h ou plus sur les autoroutes (ATF 132 II 234 consid. 3.1 p. 237 s. ; ATF 124 II 259 consid. 2b p. 261 ss). L'importance de la mise en danger et celle de la faute doivent néanmoins être appréciées au regard des circonstances du cas concret afin de fixer la sanction (cf. art. 47 CP ; arrêts du Tribunal fédéral 6B_580/2015 du 18 avril 2016 consid. 1.3 et 6B_264/2007 du 19 septembre 2007 consid. 3.1). Dans ce domaine également, il ne saurait être question, pour le juge du fond, de renoncer à appliquer l'ensemble des critères de l'art. 47 CP (AARP/264/2016 du 28 juin 2016 consid. 2.3). 2.2.1. Conformément à l'art. 34 CP, la fixation de la peine pécuniaire intervient en deux phases. Le tribunal détermine d'abord le nombre de jours-amende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tribunal doit ensuite arrêter le montant du jour-amende. 2.2.2. Le juge suspend en règle générale l'exécution d'une peine pécuniaire lorsqu'une peine ferme ne paraît pas nécessaire pour détourner l'auteur d'autres crimes ou délits (art. 42 al. 1 CP).</w:t>
      </w:r>
    </w:p>
    <w:p>
      <w:r>
        <w:t>- 6/8 - P/1444/2015 Selon l'art. 42 al. 4 CP, le juge peut prononcer, en plus du sursis, une peine pécuniaire sans sursis ou une amende selon l'art. 106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(ATF 134 IV 60 consid. 7.3.1 p. 75). Le juge fixe le montant de l'amende et la quotité de la peine privative de liberté de substitution en tenant compte de la situation de l'auteur, afin que la peine corresponde à la faute commise (art. 106 al. 3 CPP). En cas de peines combinées au sens de l'art. 42 al. 4 CP, l'amende ne peut pas conduire à une aggravation de la peine ou au prononcé d'une sanction supplémentaire. Les deux sanctions considérées ensemble doivent correspondre à la gravité de la faute (ATF 134 IV 53 consid. 5.2 p.55 s. ; arrêt du Tribunal fédéral 6B_61/2010 du 27 juillet 2010 consid. 5.2).</w:t>
      </w:r>
    </w:p>
    <w:p>
      <w:r>
        <w:rPr>
          <w:b/>
        </w:rPr>
        <w:t>E. 2.3</w:t>
      </w:r>
    </w:p>
    <w:p>
      <w:r>
        <w:t>En l'espèce, l'intimé a dépassé la vitesse maximale autorisée de 41 km/h, après déduction de la tolérance de 3 km/h, sur un tronçon d'autoroute limité à 40 km/h en raison de la proximité d'un poste de douane. Ce comportement constitue une infraction grave à la LCR, ce qui n'est d'ailleurs pas contesté. Toutefois, rien au dossier n'indique qu'un tiers déterminé a été concrètement mis en danger par le comportement de l'intimé. Au contraire, le trafic était fluide. Seule une mise en danger potentiellement sérieuse peut être retenue. Contrairement à ce que soutient le MP, les conditions météorologiques favorables, la bonne visibilité et la courte période d'inattention sur l'espace relativement large que constitue l'autoroute sont autant de circonstances concrètes dont il faut tenir compte dans la fixation de la sanction. Par ailleurs, l'intimé a d'emblée reconnu les faits et a pris conscience du caractère répréhensible de son acte, tirant même leçon des faits pour désormais emprunter les transports publics. Au vu de ce qui précède, la faute de l'intimé est importante, sans pour autant pouvoir être qualifiée de "particulièrement grave" comme le soutient le MP. La peine de 60 jours-amende retenue par le premier juge est adéquate au regard de la gravité de la faute et de l'ensemble des circonstances. Il en va de même du montant du jour-amende de CHF 120.- l'unité, au regard de la situation personnelle et financière de l'intimé, de sorte qu'il n'y a pas lieu de le revoir.</w:t>
      </w:r>
    </w:p>
    <w:p>
      <w:r>
        <w:t>- 7/8 - P/1444/2015 L'amende de CHF 1'800.- prononcée par le premier juge à titre de sanction immédiate est également fondée, dans la mesure où elle respecte son caractère secondaire par rapport à la peine principale prononcée, de même que la peine privative de liberté de substitution (art. 106 al. 2 et 3 CP ; ATF 135 IV 126 consid. 1.3.9 p. 130). Le bénéfice du sursis n'est pas remis en cause par le MP, à juste titre, et doit être confirmé, tout comme le délai d'épreuve qui ne porte pas flanc à la critique au regard de son caractère dissuasif. L'appel du MP sera ainsi rejeté et le jugement confirmé.</w:t>
      </w:r>
    </w:p>
    <w:p>
      <w:r>
        <w:rPr>
          <w:b/>
        </w:rPr>
        <w:t>E. 3</w:t>
      </w:r>
    </w:p>
    <w:p>
      <w:r>
        <w:t>L'appelant succombe. Vu sa qualité, les frais de la procédure seront laissés à la charge de l'Etat (art. 428 al. 1 CPP et 14 al. 1 du Règlement fixant le tarif des frais en matière pénale du 22 décembre 2010 [RTFMP ; E 4 10.03]).</w:t>
      </w:r>
    </w:p>
    <w:p>
      <w:r>
        <w:rPr>
          <w:b/>
        </w:rPr>
        <w:t>E. 4.1</w:t>
      </w:r>
    </w:p>
    <w:p>
      <w:r>
        <w:t>Lorsque le Ministère public fait recours mais succombe, le prévenu n'aura, en principe, pas à supporter les frais de la procédure de recours et aura, en outre, droit à une indemnité en rapport avec celle-ci (L. MOREILLON / A. PAREIN-REYMOND, CPP, Code de procédure pénale, Bâle 2013, n. 6 ad art. 436 CPP et les références citées). Les honoraires d'avocat se calculent selon le tarif local, à condition qu'ils restent proportionnés (N. SCHMID, op. cit, n. 7 ad art. 429) ; encore faut-il que l'assistance d'un avocat ait été nécessaire, compte tenu de la complexité de l'affaire en fait ou en droit, et que le volume de travail de l'avocat était ainsi justifié (Message, FF 2006 1309) ; le juge dispose d'une marge d'appréciation à cet égard, mais ne devrait pas se montrer trop exigeant dans l'appréciation rétrospective qu'il porte sur les actes nécessaires à la défense du prévenu (M. NIGGLI / M. HEER / H. WIPRÄCHTIGER (éds), op. cit, n. 19 ad art. 429).</w:t>
      </w:r>
    </w:p>
    <w:p>
      <w:r>
        <w:rPr>
          <w:b/>
        </w:rPr>
        <w:t>E. 4.2</w:t>
      </w:r>
    </w:p>
    <w:p>
      <w:r>
        <w:t>En l'occurrence, l'appelant ayant succombé, le principe d'une indemnisation des frais d'avocat de l'intimé lui est acquis. L'état de frais présenté, considéré dans sa globalité, est adéquat. Le défenseur de choix de l'intimé sera par conséquent indemnisé à hauteur de CHF 1'440.-. * * * * *</w:t>
      </w:r>
    </w:p>
    <w:p>
      <w:r>
        <w:t>- 8/8 - P/1444/2015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