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AARP/508/2013 vom 28. Oktober 2013</w:t>
      </w:r>
    </w:p>
    <w:p>
      <w:r>
        <w:t>GE Cour de justice, 2013-10-28, FR</w:t>
      </w:r>
    </w:p>
    <w:p>
      <w:r>
        <w:rPr>
          <w:b/>
        </w:rPr>
        <w:t xml:space="preserve">Quelle: </w:t>
      </w:r>
      <w:r>
        <w:t>https://mcp.opencaselaw.ch/entscheid/ge_gerichte_AARP_508_2013</w:t>
      </w:r>
    </w:p>
    <w:p>
      <w:r>
        <w:t>FR: GE_GERICHTE AARP/508/2013 du 28 octobre 2013</w:t>
      </w:r>
    </w:p>
    <w:p>
      <w:r>
        <w:t>IT: GE_GERICHTE AARP/508/2013 del 28 ottobre 2013</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Il s’agit d’une forme d’intention, qui se distingue de la négligence</w:t>
      </w:r>
    </w:p>
    <w:p>
      <w:r>
        <w:t>- 12/26 - P/2918/2012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 IV 1 consid. 4.6 p. 8). 2.1.2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 2.2.1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w:t>
      </w:r>
    </w:p>
    <w:p>
      <w:r>
        <w:t>- 13/26 - P/2918/2012 produire incessamment (cf. ATF 106 IV 12 consid. 2a p. 14 ; ATF 104 IV 232 consid. c p. 236/237).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83/84). L’art. 15 CP ne peut être invoqué par le provocateur qui fait en sorte d’être attaqué pour pouvoir porter atteinte aux biens juridiques de tiers sous le couvert de la légitime défense (ATF 104 IV 53).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soit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 et 4 ; JT 2010 IV 159).</w:t>
      </w:r>
    </w:p>
    <w:p>
      <w:r>
        <w:t>- 14/26 - P/2918/2012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 2.2.2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w:t>
      </w:r>
    </w:p>
    <w:p>
      <w:r>
        <w:rPr>
          <w:b/>
        </w:rPr>
        <w:t>E. 7</w:t>
      </w:r>
    </w:p>
    <w:p>
      <w:r>
        <w:t>; SJ 1988 p. 121). 2.3.1 En l'espèce, il n’est pas contesté que l’appelant X______ a donné deux coups de couteau à la partie plaignante qui ont nécessité deux interventions chirurgicales et concrètement mis en danger la vie de la victime, selon l'expertise médicale du 20 mars 2012. L’appelant X______ conteste toutefois avoir voulu attenter à la vie de la partie plaignante. Contrairement à ce que celui-ci soutient, il n'est pas crédible qu'il soit tombé sur sa victime alors qu'elle trébuchait, la touchant sur le haut du thorax avec son couteau sans faire exprès. Cette version des faits, qu'il allègue pour la première fois au stade de l'appel, est en contradiction avec ses propres déclarations précédentes ainsi qu'avec celles des témoins de la scène, dont G______ et D______, celui-là expliquant que l'appelant X______ avait failli tomber sur la victime. Cette nouvelle version qui semble dictée pour les besoins de la procédure ne convainc pas et sera écartée. En portant un coup de couteau de cuisine, dont la lame mesure 15 centimètres, vers le haut du thorax de la partie plaignante, sous la clavicule gauche, du haut vers le bas de façon circulaire, ne s'interrompant que lorsqu'il a senti la lame dans la chair de sa</w:t>
      </w:r>
    </w:p>
    <w:p>
      <w:r>
        <w:t>- 15/26 - P/2918/2012 victime, l’appelant X______ ne pouvait ignorer le risque de lui causer une blessure susceptible d'entraîner la mort. Il a en effet pris le risque de porter atteinte aux organes vitaux de la partie plaignante, une blessure susceptible d’entraîner la mort ne pouvait apparaître que comme très vraisemblable, ce dont il s’est à tout le moins accommodé. Par ailleurs, lors de l'altercation, les deux protagonistes étaient en mouvement dans un endroit sombre avant que la victime ne trébuche et ne soit acculée à un mur, ce qui exclut que l'appelant X______ ait pu totalement maîtriser ses coups, d'où un risque de provoquer des lésions mortelles d'autant plus important. L'appelant X______ a également quitté les lieux en courant, la lame du couteau vierge de sang qu'il a pris le temps de ranger dans son sac et la victime encore debout selon ses propres mots, sans s'enquérir de son état de santé ni lui porter secours, ce qui tend à démontrer qu'il n'était pas surpris ou ébranlé par l'acte qu'il venait de commettre et qu'il avait envisagé les conséquences de son geste, les ayant acceptées au cas où elles se produiraient (arrêts du Tribunal fédéral 6B_246/2012 du 10 juillet 2012 consid. 1.3, 6B_109/2009 du 9 avril 2009 consid. 2.3.2). Contrairement à ce qu'a retenu le Tribunal correctionnel et conformément à la jurisprudence, l'appelant ne pouvait qu'être conscient, comme tout un chacun, du fait que la probabilité de la survenance de la mort est particulièrement élevée lorsqu'un coup de couteau est porté au thorax, qui plus est à gauche. Même si l'appelant X______ a répété tout au long de la procédure qu'il n'avait pas eu l'intention de tuer sa victime et que l'expert a relevé que l'appelant ne semblait pas avoir réalisé la gravité de ses actes et les risques vitaux provoqués par une blessure au thorax, il ne pouvait ignorer qu'une incision peu profonde à cet endroit du corps peut entraîner une issue fatale, étant rappelé que l'hémorragie causée en l'occurrence aurait pu provoquer la mort sans l'intervention rapide des secours, la victime ayant notamment eu le poumon perforé et subi un arrêt cardiaque dans l'ambulance qui la transportait aux HUG. L'appelant X______ savait d'autant plus que l'usage d'une telle arme pouvait être dangereux et mortel qu'il en avait été expressément averti quelques années auparavant à l'occasion d'une violente bagarre avec un cutter à laquelle il avait pris part au L______. Il devait dès lors être conscient qu'une telle blessure pouvait très vraisemblablement entraîner la mort et il s'est accommodé de ce résultat possible même s'il ne le souhaitait pas. 2.3.2 Dans ces circonstances, il convient d’admettre que l’appelant X______ s’est au moins nécessairement accommodé du risque de causer la mort de sa victime. C'est dès lors une tentative de meurtre par dol éventuel et non des lésions corporelles graves qui doit être retenue. L'appel du Ministère public sera admis sur ce point. L’infraction de lésions corporelles étant absorbée par la tentative de meurtre (ATF 137 IV 113 consid. 1.5 p. 117), le jugement du Tribunal correctionnel sera modifié et l'appelant reconnu coupable de tentative de meurtre par dol éventuel (art. 22 et 111 CP).</w:t>
      </w:r>
    </w:p>
    <w:p>
      <w:r>
        <w:t>- 16/26 - P/2918/2012 2.3.3 Les premiers juges ont écarté la circonstance atténuante de la légitime défense. L'appelant X______ conclut au bénéfice de la légitime défense excessive. Il ressort du dossier et n'est plus contesté au stade de l'appel, que la victime a provoqué à trois reprises l'appelant X______, en crachant dans sa direction, en renversant le contenu d'un verre d'alcool puis en lui assénant un coup de bouteille sur l'arrière du crâne, ce qui est également confirmé par la légère blessure subie par l'appelant X______ selon le constat médical. L'appelant X______ avait par ailleurs été marqué par une précédente altercation lors de laquelle il avait reçu un coup de bouteille qui avait failli lui faire perdre un œil et avait reçu des messages de menaces sur Internet d'un proche de la victime. Il ressort des déclarations des témoins D______ et G______ qu'une fois le coup de bouteille reçu, l'appelant X______ avait l'air enragé, haineux et acharné contre la victime. Toutefois, après avoir lancé sa bouteille en direction de l'appelant X______, la partie plaignante n'avait plus d'arme sur elle. Elle ne pouvait plus représenter une menace physique réelle dès lors qu'elle reculait et qu'elle s'était retrouvée acculée à un mur sans autre échappatoire. C'est ce moment que l'appelant X______ a choisi pour porter son coup au thorax de la victime. Il disposait à tout le moins d'autres moyens, voire la possibilité de lâcher son couteau, de fuir, d'appeler à l'aide. Compte tenu des caractéristiques de l'attaque subie, il ne peut sérieusement alléguer avoir été submergée par une émotion violente ou une peur particulièrement forte, les coups de couteau ayant été portés bien après le coup de bouteille. L'appelant X______ a lui- même déclaré avoir eu le temps de reprendre ses esprits et de sortir un couteau de son sac selon ses propres termes. Il ne s'agit donc pas d'un coup porté lors d'une échauffourée ou après une empoignade. Le saisissement allégué est par ailleurs contredit par l'attitude de l'appelant X______ qui, même s'il déclare avoir été mal après les faits, comme l'ont rapporté les témoins D______ et G______, n'était manifestement pas en état de choc et s'est rendu à Versoix pour fumer un joint avec ses copains, nonobstant sa perception de la gravité de son geste. Il découle de ce qui précède que l'attitude de la partie plaignante n'était pas telle qu'elle aurait pu être la cause d'une peur extrême. La riposte ayant été très dangereuse et même potentiellement mortelle, il convient de se montrer particulièrement exigeant dans l'appréciation des critères de l'art. 16 al. 2 CP. A l'évidence, l'appelant X______ ne les remplit pas de sorte que le jugement du Tribunal correctionnel sera confirmé sur ce point. 3. Au chapitre des autres circonstances atténuantes, l'appelant X______ demande à être mis au bénéfice de la circonstance atténuante du repentir sincère tandis que le Ministère public s'oppose à l'émotion violente retenue en première instance. 3.1.1 Conformément à l'art. 48 al. 1 let. c CP, le juge atténue la peine si l'auteur a agi en proie à une émotion violente que les circonstances rendaient excusables ou s'il a agi dans un état de profond désarroi. Cette disposition de la partie générale ne trouve</w:t>
      </w:r>
    </w:p>
    <w:p>
      <w:r>
        <w:t>- 17/26 - P/2918/2012 cependant application que si les règles de la partie spéciale ne prennent pas déjà en considération les circonstances rendant excusables l’émotion violente ou le profond désarroi (cf. arrêt du Tribunal fédéral 6B_517/2008 du 27 août 2008 consid. 5.3.2).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118 IV 233 consid. 2a p. 236).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3.1.2 En l'occurrence, le déroulement des faits ne permet pas de suivre le raisonnement des premiers juges. L'appelant X______ n'a pas immédiatement frappé la victime après avoir reçu le coup de bouteille mais a eu le temps de reprendre ses esprits, de sortir le couteau de son sac, de faire des mouvements en croix de haut en bas, d'attendre que la victime soit désarmée et acculée à un mur et de la toucher au bras gauche avant de lui planter le couteau dans le thorax.</w:t>
      </w:r>
    </w:p>
    <w:p>
      <w:r>
        <w:t>- 18/26 - P/2918/2012 Certes, la partie plaignante avait craché en direction de l'appelant X______, jeté le contenu d'un verre dans sa direction et asséné un coup de bouteille sur la tête pour un motif lié, selon les explications de la partie plaignante, à un incident au sujet d'une amie commune malmenée par l'appelant X______. Il est vrai également que l'appelant X______ avait reçu des messages de menaces sur Facebook d'un proche de la partie plaignante. Toutefois, le début de cette altercation entre deux bandes de jeunes n'a pas revêtu une intensité telle qu'elle ait pu provoquer une émotion justifiant la réaction de l'appelant. Au contraire, il convient de rappeler qu'asséner un coup de couteau n'est pas une réponse susceptible d'être justifiée par une provocation de ce type. Même si l'appelant X______ avait déjà été victime d'un coup de bouteille sur la tête au printemps 2011 qui l'avait blessé au visage et qui, selon l'expertise, avait généré la crainte d'une agression dans des circonstances similaires, le déroulement des faits n'autorise pas non plus à conclure à une intense émotion. Les circonstances ne sont devenues dramatiques que par la faute de l'appelant X______. Rien dans son comportement ne permet de conclure à l'existence d'une réaction empreinte d'immédiateté. En tout état, sa réaction était disproportionnée. Au regard de ce qui précède, les éléments constitutifs de la circonstance atténuante de l'émotion violente ne sont pas réalisés. Le jugement du Tribunal correctionnel sera modifié en ce sens et l'appel du Ministère public admis sur ce point. 3.2.1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w:t>
      </w:r>
    </w:p>
    <w:p>
      <w:r>
        <w:t>3.2.2 Les seuls regrets, les excuses et le retrait de plainte ne constituent pas des actes suffisants, l'appelant X______ n'ayant pas adopté un comportement particulier, désintéressé et méritoire, qui constituerait la preuve concrète d'un repentir sincère. Il n'a pas fourni d'effort particulier ni cherché à rembourser le dommage causé à la victime. Par ailleurs, la prise de conscience de la gravité de ses actes, élément essentiel du repentir, est encore trop relative, l'appelant X______ persistant à affirmer qu'il n'a pas fait exprès.</w:t>
      </w:r>
    </w:p>
    <w:p>
      <w:r>
        <w:t>Il convient partant de rejeter l'appel sur ce point et de confirmer le jugement du Tribunal correctionnel.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- 19/26 - P/2918/2012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jeune âge ne constitue plus une circonstance atténuante depuis l'entrée en vigueur de la nouvelle partie générale du code pénal le 1er janvier 2007. Cet élément ne peut être pris en compte dans le cadre ordinaire de la fixation de la peine que dans la mesure où un auteur est immature (arrêts du Tribunal fédéral 6B_198/2013 du 3 juin 2013 consid. 1.3.5 et 6B_762/2009 du 4 décembre 2009 consid. 3.3). 4.2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- 20/26 - P/2918/2012 pénales applicables prévoient, de manière abstraite, des peines d'un même genre ne suffit pas (ATF 138 IV 120 consid. 5.2 p. 122 ss). 4.3 Le meurtre est passible d'une peine privative de liberté de 5 ans au moins et l'infraction à l'art 115 LEtr est punie d'une peine privative de liberté d'un an au plus ou d'une peine pécuniaire. 4.4 La faute de l’appelant X______ est lourde. Il a pris le risque d'attenter à la vie de la victime, soit le bien juridique le plus important, faisant preuve d'une détermination certaine. Ce n’est que par chance et par l'arrivée rapide des secours que l'issue fatale ne s'est pas produite. S’il est vrai que l’infraction qui lui est reprochée n’a été que tentée, l'absence de résultat n’en est pas pour autant attribuable à un désistement. La partie plaignante a été gravement atteinte dans sa santé physique et psychique au point qu'elle peine à vivre normalement et n'a pas pu commencer de formation professionnelle. Les conséquences humaines du comportement mal maîtrisé de l'appelant X______ sont donc importantes. Il a par ailleurs agi pour un motif vil et futile que rien ne justifiait et qui relève d'une colère mal maîtrisée ainsi que d'une volonté de vengeance. Il y a concours d'infractions avec l'art. 115 LEtr. Il convient aussi de prendre en considération la situation personnelle de l'appelant X______ ainsi que sa responsabilité pénale, que l'expert a qualifié de légèrement restreinte au regard de sa personnalité impulsive et de son état d'intoxication. Sa collaboration peut être qualifiée de moyenne. Il a admis les faits mais persisté à minimiser la gravité de sa faute, la rejetant en partie sur la partie plaignante. Même s'il a présenté des excuses à sa victime, la prise de conscience n'est encore que partielle. Il ne peut faire valoir aucune circonstance atténuante au sens de l’art. 48 CP. Il y a lieu également de tenir compte de son jeune âge au moment des faits ainsi que d'une enfance empreinte d'actes de violences et d'une situation sociale précaire sans perspective claire d'avenir vu son statut administratif. L'absence d'antécédent constitue un facteur neutre dans la fixation de la peine et n'a donc pas à être pris en considération dans un sens atténuant (ATF 136 IV 1 consid. 2.6.4 p. 3). Au regard de l’ensemble de ces éléments, l'appelant X______ sera condamné à une peine de 4 ans. Le jugement entrepris sera dès lors réformé sur ce point également. Il n’y a ainsi pas lieu d’examiner si les conditions du sursis sont réunies (cf. art. 42 et 43 CP). 5. 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w:t>
      </w:r>
    </w:p>
    <w:p>
      <w:r>
        <w:t>- 21/26 - P/2918/2012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déjà ATF 118 IV 108 consid. 2a p. 113 et les références citées).</w:t>
      </w:r>
    </w:p>
    <w:p>
      <w:r>
        <w:t>5.1.2 Le juge n'est en principe pas lié par les conclusions d'une expertise judiciaire ; toutefois, s'il entend s'en écarter, il doit motiver sa décision et ne saurait sans motifs sérieux substituer son opinion à celle de l'expert (ATF 119 Ib 254 consid. 8a p. 274 ; 118 Ia 144 consid. 1c ; 107 IV 7 consid. 5 ; 102 IV 225 consid. 7b ; 101 IV 129 consid. 3a et les références citées ; voir aussi ATF 125 V 353 consid. 3b/bb ; 122 V 157 consid. 1c p. 161). En d'autres termes, le juge qui ne suit pas les conclusions de l'expert n'enfreint pas l'art. 9 Cst. lorsque des circonstances bien établies viennent en ébranler sérieusement la crédibilité (ATF 129 I 49 consid. 4 p. 57/58 ; 128 I 81 consid. 2 p. 86 ; 122 V 157 consid. 1c p. 160).</w:t>
      </w:r>
    </w:p>
    <w:p>
      <w:r>
        <w:t>5.2 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w:t>
      </w:r>
    </w:p>
    <w:p>
      <w:r>
        <w:t>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consid. 2b p. 354 s.). Le placement implique une disposition minimale à coopérer, le jeune adulte devant présenter un minimum de motivation (ATF 123 IV 113 consid. 4c/dd p. 123 s). Au terme de l'art. 57 al. 1 et 2 CP, si les conditions sont remplies aussi bien pour le prononcé d’une peine que pour celui d’une mesure, le juge ordonne les deux sanctions (al. 1).</w:t>
      </w:r>
    </w:p>
    <w:p>
      <w:r>
        <w:t>- 22/26 - P/2918/2012 5.3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Si la peine n’est pas compatible avec le traitement, le juge peut suspendre, au profit du traitement ambulatoire, l’exécution d’une peine privative de liberté ferme prononcée en même temps que le traitement. Il peut ordonner une assistance de probation et imposer des règles de conduite pendant la durée du traitement (art. 63 al. 2 CP). Le traitement ambulatoire ne peut en règle générale excéder cinq ans (al. 4). 5.4 En l'espèce, selon l'expertise psychiatrique du 4 août 2012, l'appelant X______ présentait un trouble de la personnalité, émotionnellement labile de type impulsif avec traits dyssociaux et un état d'intoxication aiguë à l'alcool ou au cannabis. Sa responsabilité était légèrement restreinte au moment des faits et il existait un risque de récidive d'actes violents en raison de son trouble de la personnalité, de sa difficulté à contrôler ses impulsions, augmentés par le risque de consommation de substances psychoactives. D'après l'expert, l'appelant X______ devait bénéficier d'un suivi médico- psychologique dans le but de l'aider à se maîtriser ainsi qu'à prévenir ou éviter une consommation excessive d'alcool et de stupéfiants. Devant le Procureur, le Dr E______, ignorant si une thérapie ambulatoire serait suffisante, a indiqué qu'un placement à Pramont permettrait d'éloigner l'appelant X______ de mauvaises fréquentations et de créer un projet socio-professionnel. Il a toutefois nuancé ses propos devant la CPAR dans la mesure où le jeune homme s'y opposait. L'efficacité d'un traitement psychothérapeutique dépendait surtout de la qualité du lien avec le thérapeute de sorte qu'une telle mesure suivie ambulatoirement en prison pouvait être aussi bonne qu'à Pramont. L’appelant X______, âgé de moins de vingt-cinq ans au moment des faits, s’est déclaré prêt à collaborer à un traitement ambulatoire mais veut rester auprès de sa mère avec laquelle il a un lien fort. Le placement imposant au jeune adulte un minimum de coopération, il n'apparaît pas indiqué. Conformément aux conclusions de l'expertise, il se justifie de soumettre l’appelant à une mesure psychothérapeutique, visant à traiter sa problématique d'impulsivité et de violence ainsi que ses addictions au cannabis et à l'alcool. Au regard du principe de proportionnalité, cette mesure peut, en l’état, être exécutée sous la forme d’un traitement ambulatoire ne nécessitant pas un placement en maison d'éducation au</w:t>
      </w:r>
    </w:p>
    <w:p>
      <w:r>
        <w:t>- 23/26 - P/2918/2012 travail, solution envisagée par l’expert dans un deuxième temps. Ce traitement est essentiel, afin que l’appelant apprenne à maitriser ses colères et prévenir le risque de récidive. La fréquence des entretiens sera laissée à l’appréciation du thérapeute, leur suivi étant placé sous le contrôle des autorités administratives compétentes. L'appel sera admis sur ce point et le jugement querellé annulé en tant qu’il ordonne un placement au sens de l’art. 61 CP. Un traitement ambulatoire sera ordonné pour une durée indéterminée (art. 63 CP), comprenant un suivi psychothérapeutique et, si nécessaire, médicamenteux. Il n'y a pas lieu de suspendre la peine privative de liberté fixée au profit du traitement ordonné lequel est compatible avec la détention. 6. L’appelant X______, qui succombe pour l’essentiel, supportera les trois quarts des frais de la procédure (art. 428 CPP), le solde étant laissé à la charge de l’Etat. * * * * *</w:t>
      </w:r>
    </w:p>
    <w:p>
      <w:r>
        <w:t>- 24/26 - P/2918/2012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