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AARP/507/2016 vom 14. Dezember 2016</w:t>
      </w:r>
    </w:p>
    <w:p>
      <w:r>
        <w:t>GE Cour de justice, 2016-12-14, FR</w:t>
      </w:r>
    </w:p>
    <w:p>
      <w:r>
        <w:rPr>
          <w:b/>
        </w:rPr>
        <w:t xml:space="preserve">Quelle: </w:t>
      </w:r>
      <w:r>
        <w:t>https://mcp.opencaselaw.ch/entscheid/ge_gerichte_AARP_507_2016</w:t>
      </w:r>
    </w:p>
    <w:p>
      <w:r>
        <w:t>FR: GE_GERICHTE AARP/507/2016 du 14 décembre 2016</w:t>
      </w:r>
    </w:p>
    <w:p>
      <w:r>
        <w:t>IT: GE_GERICHTE AARP/507/2016 del 14 dicembre 2016</w:t>
      </w:r>
    </w:p>
    <w:p>
      <w:pPr>
        <w:pStyle w:val="Heading2"/>
      </w:pPr>
      <w:r>
        <w:t>Erwägungen</w:t>
      </w:r>
    </w:p>
    <w:p>
      <w:r>
        <w:rPr>
          <w:b/>
        </w:rPr>
        <w:t>E. 1</w:t>
      </w:r>
    </w:p>
    <w:p>
      <w:r>
        <w:t>L'appel est recevable pour avoir été interjeté et motivé selon la forme et dans les délais prescrits (art. 398 et 399 CPP).</w:t>
      </w:r>
    </w:p>
    <w:p>
      <w:r>
        <w:t>- 9/20 - P/2671/2013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3.1.1.1. 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w:t>
      </w:r>
    </w:p>
    <w:p>
      <w:r>
        <w:t>Sur le plan objectif, l'usure suppose d'abord que la victime se soit trouvée dans l'une des situations de faiblesse énumérées exhaustivement par cette disposition et notamment la gêne. L'état de gêne s'entend de tout état de contrainte qui influe si</w:t>
      </w:r>
    </w:p>
    <w:p>
      <w:r>
        <w:t>- 10/20 - P/2671/2013 fortement sur la liberté de décision de la personne lésée qu'elle est prête à fournir une prestation disproportionnée selon une appréciation objective (arrêt du Tribunal fédéral 6S.6/2007 du 19 février 2007 consid. 3.2.1), ce qui a été admis dans le cas d'une personne se trouvant dans la nécessité absolue de se loger dans un contexte de pénurie du logement (ATF 92 IV 132, repris dans l'arrêt du Tribunal fédéral 6S.6/2007 précité). Elle peut avoir un caractère purement temporaire (ATF 80 IV 20 consid. 3 ; B. CORBOZ, Les infractions en droit suisse I, 3ème éd., 2010, n. 12 ad art. 157). Le consentement de la victime n'étant pas le fruit d'un réel choix, il est un des éléments constitutifs de l'usure (arrêt du Tribunal fédéral 6S.6/2007 précité consid. 3.2.1).</w:t>
      </w:r>
    </w:p>
    <w:p>
      <w:r>
        <w:t>3.1.1.2. Dans le cas de logements, il y a lieu de procéder à une comparaison entre le prix usuel perçu pour un logement analogue, lequel représente la valeur objective, et celui qui a été perçu, sur le même marché local, dans le cas concret (ATF 93 IV 86 consid. 2 p. 87; 92 IV 132 consid. 1 p. 134 ; arrêt du Tribunal fédéral 6B_387/2008 du 15 août 2008 consid. 2.2). Il n'est pas possible de se fonder sur les prix du marché noir même si ceux-ci sont généralisés (arrêt du Tribunal fédéral 6S.6/2007 précité consid. 3.1.3), étant précisé que le loyer ne peut pas être augmenté sous prétexte d'encourir un risque particulier (arrêt du Tribunal fédéral 6B_27/2009 du 29 septembre 2009 consid. 1.5).</w:t>
      </w:r>
    </w:p>
    <w:p>
      <w:r>
        <w:t>La disproportion doit excéder sensiblement les limites de ce qui apparaît usuel et normal au regard de toutes les circonstances. Elle doit paraître frappante et s'imposer comme telle à tout client (ATF 92 IV 132 consid. 1). Pour les domaines réglementés, la limite semble se situer autour de 20 %. Dans les autres domaines, il y aurait usure, dans tous les cas, dès 35 % (arrêt du Tribunal fédéral 6S.6/2007 précité consid. 3.1.1 ; B. CORBOZ, op. cit., n. 38 ad art. 157). Doit être considéré comme usuraire un loyer de sous-location qui, sans justification particulière, excède de 50 % le loyer principal (ATF 119 II 353 consid. 6 p. 359 et arrêt du Tribunal fédéral 6B_27/2009 précité et les références citées). La disproportion doit être en lien de causalité avec la situation de faiblesse de la victime (arrêt du Tribunal fédéral 6S.6/2007 précité).</w:t>
      </w:r>
    </w:p>
    <w:p>
      <w:r>
        <w:t>Selon les données de l'OCSTAT, le loyer moyen d'un appartement de trois pièces à Genève, en 2010 et 2012, atteignait respectivement CHF 1'348.- et CHF 1'447.-.</w:t>
      </w:r>
    </w:p>
    <w:p>
      <w:r>
        <w:t>3.1.1.3. L'usure est une infraction intentionnelle ; le dol éventuel suffit (ATF 82 IV 145 consid. 2d p. 150; arrêt du Tribunal fédéral 6S.6/2007 précité consid. 3.3). L'intention doit porter sur la disproportion évidente entre la prestation et la contre- prestation ainsi que sur la situation de faiblesse de la victime (B. CORBOZ, op. cit., n. 39 ad art. 157).</w:t>
      </w:r>
    </w:p>
    <w:p>
      <w:r>
        <w:t>- 11/20 - P/2671/2013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Agit sous l'emprise d'une erreur sur les faits celui qui n'a pas connaissance ou qui se base sur une appréciation erronée d'un élément constitutif d'une infraction pénale (ATF 129 IV 238 consid. 3.1). L'intention délictuelle fait alors défaut.</w:t>
      </w:r>
    </w:p>
    <w:p>
      <w:r>
        <w:t>3.1.2. Selon la jurisprudence, agit par métier au sens de l'art. 157 ch. 2 CP, celui qui exerce son activité coupable à la manière d'une profession, même accessoire. Sont notamment pris en compte le temps et les moyens qu'il consacre à ses agissements délictueux, mais aussi les revenus envisagés ou obtenus et leur régularité (ATF 129 IV 253 consid. 2.1 p ; 123 IV 113 consid. 2c). Ainsi, le métier suppose que l'auteur ait l'intention de commettre l'infraction de façon répétée, ayant pour objectif d'en tirer une forme de revenu et qu'il soit disposé à commettre, à l'avenir, un nombre indéterminé d'infractions du même genre (M. NIGGLI/C. RIEDO, Basler Kommentar, Strafrecht II, n. 83 ad art. 139).</w:t>
      </w:r>
    </w:p>
    <w:p>
      <w:r>
        <w:t>3.2.1. En l'espèce, l'écart entre les loyers fixés par l'appelant et le loyer moyen d'un appartement de trois pièces atteint respectivement 196.7 % et 314.6 %. La disproportion dépasse donc largement la limite des 35 % admise dans les domaines non réglementés. L'appelant ne peut se prévaloir du fait qu'il louait, en toute illégalité, cet appartement en bail commercial, la jurisprudence excluant la prise en compte du prix au marché noir. Il n'importe donc pas de savoir si les salons ouverts par B_______ et C______ étaient rentables, ou non.</w:t>
      </w:r>
    </w:p>
    <w:p>
      <w:r>
        <w:t>3.2.2. Au moment des faits, B______, alors enceinte, et C______ désiraient toutes deux exploiter un salon de massage afin d'arrêter de se prostituer, ce dont l'appelant était conscient. Dans la mesure où il est notoire qu'à Genève, la prostitution s'exerce dans le quartier D______ et que la ville connaît une grave pénurie de logements, les locataires étaient obligées d'accepter les conditions locatives proposées par l'appelant. Leur méconnaissance du français renforçait encore davantage leur position de faiblesse. Il n'est pas non plus déterminant que C______ ait proposé elle- même le montant du loyer, ce qui n'est au demeurant pas établi, puisque, dans ce genre de situation, la victime ne dispose pas d'un choix réel, son consentement étant précisément un élément constitutif de l'infraction. Le même raisonnement s'applique à l'argument de l'appelant selon lequel les locataires étaient en droit de contester le loyer si elles le jugeaient abusif.</w:t>
      </w:r>
    </w:p>
    <w:p>
      <w:r>
        <w:t>L'appelant, qui se dit lui-même connaisseur du marché de l'immobilier, ne pouvait pas ignorer que la plaignante et C______ n'avaient pas d'autre alternative que de louer son bien si elles voulaient ouvrir un salon de massage érotique, de manière à</w:t>
      </w:r>
    </w:p>
    <w:p>
      <w:r>
        <w:t>- 12/20 - P/2671/2013 sortir de la prostitution. L'appelant a exploité leur situation, étant précisé qu'il n'aurait jamais pu louer un bail d'habitation à de pareils loyers à un locataire désireux de trouver un logement.</w:t>
      </w:r>
    </w:p>
    <w:p>
      <w:r>
        <w:t>L'infraction d'usure est ainsi réalisée.</w:t>
      </w:r>
    </w:p>
    <w:p>
      <w:r>
        <w:rPr>
          <w:b/>
        </w:rPr>
        <w:t>E. 3.3</w:t>
      </w:r>
    </w:p>
    <w:p>
      <w:r>
        <w:t>L'appelant a maintenu ces loyers usuraires sur plusieurs années, le montant des trop-perçus atteignant plusieurs dizaines de milliers de francs. Par son comportement, il a démontré qu'il aurait été prêt à continuer ses pratiques tant qu'il n'en aurait pas été empêché, ce qu'atteste le fait qu'il a rapidement reloué l'appartement litigieux à C______, pour un loyer encore plus élevé. Dès lors, la circonstance aggravante du métier doit être retenue. Il n'est pas nécessaire que le revenu des infractions représente un apport notable au financement de son genre de vie, ce qui aurait sinon pour conséquence d'exclure systématiquement la circonstance aggravante du métier lorsqu'une infraction est commise par un auteur fortuné.</w:t>
      </w:r>
    </w:p>
    <w:p>
      <w:r>
        <w:rPr>
          <w:b/>
        </w:rPr>
        <w:t>E. 4</w:t>
      </w:r>
    </w:p>
    <w:p>
      <w:r>
        <w:t>L'infraction de contrainte (art. 181 CP), dont la matérialité n'est plus contestée par l'appelant, est réalisée au regard des éléments du dossier. Le jugement entrepris sera dès lors confirmé sur ce point.</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- 13/20 - P/2671/2013 5.1.2. D'après l'art. 49 al. 1 CP, si, en raison d'un ou de plusieurs actes, l'auteur remplit les conditions de plusieurs peines de même genre, le juge le condamne à la peine de l'infraction la plus grave et l'augmente dans une juste proportion. 5.1.3. Sur le plan objectif, seules les peines de six mois à deux ans peuvent être assorties du sursis total (cf. art. 42 al. 1 CP). 5.1.4.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est néanmoins perceptible pour le condamné, dans un but de prévention spéciale (ATF 135 IV 188 consid. 3.3. ;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(ATF 135 IV 188 consid. 3.4.4. ; arrêt du Tribunal fédéral 6B_220/2015 du 10 février 2016 consid. 4.1).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119 IV 330 consid. 3 p. 337). La situation économique déterminante est celle de l'auteur au moment où l'amende est prononcée (arrêt du Tribunal fédéral 6B_547/2012 du 26 mars 2013 consid. 3.4 et les références citées). 5.2.1. La faute de l'appelant est grave. Il a volontairement exploité l'état de gêne de ses victimes pendant des années, s'enrichissant de plusieurs dizaines de milliers de francs. En sus, il n'a pas hésité à priver la plaignante de l'appartement qu'elle lui louait, en utilisant des méthodes indignes d'un état de droit.</w:t>
      </w:r>
    </w:p>
    <w:p>
      <w:r>
        <w:t>- 14/20 - P/2671/2013 Son mobile est égoïste. Il a agi par appât du gain, sans considération pour ses victimes. Sa situation personnelle ne saurait d'autant moins expliquer ses actes que l'appelant est très fortuné et réalise des revenus importants. Il ne semble pas avoir totalement pris conscience de la gravité et des conséquences de ses actes, dès lors qu'il persiste à contester l'infraction d'usure. Il a fait preuve de mépris à l'égard de la plaignante durant l'audience de première instance. Il y a concours d'infractions, ce qui conduit à une aggravation de la peine. L'appelant n'a pas d'antécédents, ce qui a toutefois un effet neutre sur la fixation de la peine (ATF 136 IV 1 consid. 2.6). Compte tenu de l'ensemble de ces éléments, la peine privative de liberté et l'amende auxquelles il a été condamné en première instance respectent les principes posés par l'art. 47 CP dans la mesure où elles correspondent à la faute de l'appelant. 5.2.2. Le sursis est acquis à l'appelant (art. 391 al. 2 CPP). Le délai d'épreuve a judicieusement été arrêté à trois ans, une durée à même de le dissuader de comportements similaires. Le jugement entrepris sera dès lors également confirmé sur ces points.</w:t>
      </w:r>
    </w:p>
    <w:p>
      <w:r>
        <w:rPr>
          <w:b/>
        </w:rPr>
        <w:t>E. 6.1</w:t>
      </w:r>
    </w:p>
    <w:p>
      <w:r>
        <w:t>L'art. 70 al. 1 CP autorise le juge à confisquer des valeurs patrimoniales qui sont le résultat d'une infraction, si elles ne doivent pas être restituées au lésé en rétablissement de ses droits.</w:t>
      </w:r>
    </w:p>
    <w:p>
      <w:r>
        <w:t>Lorsque les valeurs à confisquer ne sont plus disponibles, il ordonne, selon l'art. 71 CP, leur remplacement par une créance compensatrice.</w:t>
      </w:r>
    </w:p>
    <w:p>
      <w:r>
        <w:t>Les valeurs patrimoniales à confisquer sont constituées de tous les avantages économiques illicites appréciables en argent, susceptibles le cas échéant d'être chiffrés dans le cadre d'une décision de créance compensatrice (M. VOUILLOZ, Le nouveau droit suisse de la confiscation pénale et de la créance compensatrice, art. 69 à 73 CP, PJA 2007 p. 1382).</w:t>
      </w:r>
    </w:p>
    <w:p>
      <w:r>
        <w:t>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op. cit., PJA 2007 pp. 1388 et 1391). Dès lors qu'il s'agit d'une</w:t>
      </w:r>
    </w:p>
    <w:p>
      <w:r>
        <w:t>- 15/20 - P/2671/2013 mesure qui porte gravement atteinte à la propriété, elle doit respecter le principe de la proportionnalité (ATF 125 IV 185 consid. 2a ; ATF 116 IV 117 consid. 2a).</w:t>
      </w:r>
    </w:p>
    <w:p>
      <w:r>
        <w:t>La jurisprudence du Tribunal fédéral préconise la prise en compte d'une valeur brute lors du calcul de la valeur à saisir ("Bruttoprinzip") (ATF 124 I 6 consid. 4b avec les références ; arrêts du Tribunal fédéral 6B_56/2010 du 29 juin 2010 consid. 3.2, 6B_697/2009 du 30 mars 2010 consid. 2.2 et 6P.236/2006 du 23 mars 2007 consid. 11.3).</w:t>
      </w:r>
    </w:p>
    <w:p>
      <w:r>
        <w:rPr>
          <w:b/>
        </w:rPr>
        <w:t>E. 6.2</w:t>
      </w:r>
    </w:p>
    <w:p>
      <w:r>
        <w:t>Calculé sur la base de la différence entre le loyer moyen, majoré de la limite admissible de 35 %, et les loyers effectivement perçus, le montant de la créance compensatrice, soit CHF 51'069.40, sera confirmé. Le fait que l'appartement ait été sous-loué par la plaignante durant quelques mois n'importe pas dans la mesure où le loyer usuraire de CHF 4'000.- était toujours perçu par l'appelant.</w:t>
      </w:r>
    </w:p>
    <w:p>
      <w:r>
        <w:rPr>
          <w:b/>
        </w:rPr>
        <w:t>E. 6.3</w:t>
      </w:r>
    </w:p>
    <w:p>
      <w:r>
        <w:t>Au sens de l'art. 69 CP, les objets susceptibles d'être confisqués sont soit des instrumenta sceleris, à savoir des objets qui ont servi ou devaient servir à commettre une infraction, soit des producta sceleris, c'est-à-dire des objets qui sont le produit de l'infraction (M. VOUILLOZ, op. cit., p. 1379). La confiscation ne peut porter que sur des objets corporels matériels, que cela soit des choses mobilières ou des immeubles (M. VOUILLOZ, op. cit., p. 1380). Le juge doit renoncer à confisquer l'objet si le danger a été complètement écarté ou si une mesure moins grave que la confiscation suffit pour atteindre le but visé (ATF 123 IV 55 consid. 1a p. 57). La confiscation de l'art. 69 CP constitue une mesure d'intérêt général. Il n'est dès lors pas nécessaire que les objets confisqués soient la propriété du condamné. Si l'objet, propriété d'un tiers, ne présente un danger qu'en mains de l'auteur de l'infraction, le principe de la proportionnalité dictera de le confisquer au bénéfice de l'ayant droit, au besoin après avoir mis l'objet hors d'usage (…) (M. VOUILLOZ, op. cit., p. 1381).</w:t>
      </w:r>
    </w:p>
    <w:p>
      <w:r>
        <w:rPr>
          <w:b/>
        </w:rPr>
        <w:t>E. 6.4</w:t>
      </w:r>
    </w:p>
    <w:p>
      <w:r>
        <w:t>En l'espèce, le Tribunal de police a procédé à la confiscation de différents dossiers, dont ceux liés au 39 rue ______. L'absence de motivation rend difficilement compréhensible cette mesure. Si la saisie était justifiée, ne serait-ce qu'à des fins d'instruction de la cause, leur confiscation en bloc se comprend moins, surtout que certains documents sont des originaux dont on peut comprendre l'intérêt pour une régie d'en disposer. Aussi sera-t-il fait partiellement droit à la conclusion prise par l'appelant pour ce qui a trait aux dossiers précités et à tout autre document en original dont la régie solliciterait la restitution, l'intérêt privé primant sur toute autre considération.</w:t>
      </w:r>
    </w:p>
    <w:p>
      <w:r>
        <w:t>- 16/20 - P/2671/2013</w:t>
      </w:r>
    </w:p>
    <w:p>
      <w:r>
        <w:rPr>
          <w:b/>
        </w:rPr>
        <w:t>E. 7</w:t>
      </w:r>
    </w:p>
    <w:p>
      <w:r>
        <w:t>7.1.1.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w:t>
      </w:r>
    </w:p>
    <w:p>
      <w:r>
        <w:t>La partie plaignante a obtenu gain de cause au sens de cette disposition lorsque le prévenu a été condamné et/ou si les prétentions civiles ont été admises (ATF 139 IV 102 consid. 4.3; M. NIGGLI/ M. HEER/ H. WIPRÄCHTIGER, Strafprozessordnung – Jugendstrafprozess-ordnung, Basler Kommentar StPO/JStPO, 2ème éd., Bâle 2014, n. 10 ad art. 433 ; N. SCHMID, Schweizerische Strafprozessordnung : Praxiskommentar, 2ème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A cet égard, les démarches doivent apparaître nécessaires et adéquates pour la défense du point de vue de la partie plaignante raisonnable (arrêts du Tribunal fédéral 6B_495/2014 du 6 octobre 2014 consid. 2.1 ; 6B_159/2012 du 22 juin 2012 consid. 2.3).</w:t>
      </w:r>
    </w:p>
    <w:p>
      <w:r>
        <w:t>7.1.2. La Cour de justice applique, en matière d'honoraires d'avocat, un tarif horaire maximal de CHF 350.- pour les collaborateurs (AARP/125/2012 du 30 avril 2012 consid. 4.2 ; ACPR/178/2015 du 23 mars 2015 consid. 2.1).</w:t>
      </w:r>
    </w:p>
    <w:p>
      <w:r>
        <w:t>7.1.3. La partie plaignante ayant obtenu gain de cause en appel, vu la confirmation du verdict de culpabilité, le principe de l'indemnisation de ses frais d'avocat pour la procédure d'appel lui est acquis.</w:t>
      </w:r>
    </w:p>
    <w:p>
      <w:r>
        <w:t>Les postes de la note d'honoraires produite relatifs à la procédure d'appel correspondent à une activité nécessaire et justifiée, facturée au taux horaire de CHF 350.-. Par conséquent, l'appelant sera condamné à verser à la partie plaignante la somme de CHF 3'341.50, frais (4 %) et TVA inclus au titre de ses frais de défense en appel.</w:t>
      </w:r>
    </w:p>
    <w:p>
      <w:r>
        <w:rPr>
          <w:b/>
        </w:rPr>
        <w:t>E. 7.2</w:t>
      </w:r>
    </w:p>
    <w:p>
      <w:r>
        <w:t>L'issue de la procédure d'appel conduit au rejet des conclusions de l'appelant tendant à l'indemnisation de ses frais de défense et du tort moral (art. 429 al. 1 let. a et c CPP a contrario).</w:t>
      </w:r>
    </w:p>
    <w:p>
      <w:r>
        <w:rPr>
          <w:b/>
        </w:rPr>
        <w:t>E. 8</w:t>
      </w:r>
    </w:p>
    <w:p>
      <w:r>
        <w:t>L'appelant, qui succombe sous réserve de quelques mesures accessoires qui n'ont pas été confirmées mais dont la réforme est sans incidence sur la répartition des frais,</w:t>
      </w:r>
    </w:p>
    <w:p>
      <w:r>
        <w:t>- 17/20 - P/2671/2013 supportera les frais de la procédure envers l'Etat, qui comprennent un émolument de CHF 4'000.- (art. 428 CPP). * * * * *</w:t>
      </w:r>
    </w:p>
    <w:p>
      <w:r>
        <w:t>- 18/20 - P/2671/2013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