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AARP/4/2018 vom 11. Januar 2018</w:t>
      </w:r>
    </w:p>
    <w:p>
      <w:r>
        <w:t>GE Cour de justice, 2018-01-11, FR</w:t>
      </w:r>
    </w:p>
    <w:p>
      <w:r>
        <w:rPr>
          <w:b/>
        </w:rPr>
        <w:t xml:space="preserve">Quelle: </w:t>
      </w:r>
      <w:r>
        <w:t>https://mcp.opencaselaw.ch/entscheid/ge_gerichte_AARP_4_2018</w:t>
      </w:r>
    </w:p>
    <w:p>
      <w:r>
        <w:t>FR: GE_GERICHTE AARP/4/2018 du 11 janvier 2018</w:t>
      </w:r>
    </w:p>
    <w:p>
      <w:r>
        <w:t>IT: GE_GERICHTE AARP/4/2018 del 11 gennaio 2018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w:t>
      </w:r>
    </w:p>
    <w:p>
      <w:r>
        <w:t>- 8/13 - P/6118/2016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 juge pourra atténuer la peine en raison de l'aveu ou de la bonne coopération de l'auteur de l'infraction avec les autorités policières ou judiciaires (ATF 121 IV 202 consid. 2d/aa p. 204 ; 118 IV 342 consid. 2d p. 349).</w:t>
      </w:r>
    </w:p>
    <w:p>
      <w:r>
        <w:t>2.1.2.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2.1.3. D'après l'art. 49 al. 1 CP, si, en raison d'un ou de plusieurs actes, l'auteur remplit les conditions de plusieurs peines de même genre, le juge le condamne à la peine de l'infraction la plus grave et l'augmente dans une juste proportion.</w:t>
      </w:r>
    </w:p>
    <w:p>
      <w:r>
        <w:rPr>
          <w:b/>
        </w:rPr>
        <w:t>E. 2.2</w:t>
      </w:r>
    </w:p>
    <w:p>
      <w:r>
        <w:t>En l'espèce, l'appelant a agi à 29 reprises, selon un modus operandi bien rôdé, consistant à pénétrer, à la tombée de la nuit, dans des habitations, en forçant des fenêtres ou des portes-fenêtres au moyen d'un outil plat, vraisemblablement un</w:t>
      </w:r>
    </w:p>
    <w:p>
      <w:r>
        <w:t>- 9/13 - P/6118/2016 tournevis, après avoir parfois escaladé des balcons. Il a perpétré 28 cambriolages - comportant six tentatives de vol - en moins de deux mois, agissant presque chaque jour et parfois plusieurs fois par jour, ce qui dénote l'intensité de sa volonté délictuelle, d'autant que seule son arrestation a mis fin à ses agissements. La faute de l'appelant est également importante dans la mesure où il s'en est pris au patrimoine d'autrui, en violant de surcroît le domicile et donc la sphère privée de nombreux particuliers. Il n'a pas non plus hésité à pénétrer à plusieurs reprises et sans droit sur le territoire suisse, y venant et y séjournant uniquement pour y commettre des délits. Sa responsabilité pénale est pleine et entière, ce qui est corroboré par le fait qu'il a agi méthodiquement et en choisissant parfaitement ses cibles et le genre de butin recherché, soit des espèces ou des objets qu'il pouvait aisément vendre, principalement des bijoux, des montres et du matériel informatique ou électronique. S'il n'y a pas de raison de douter qu'il a été toxicomane, ses dires ont par trop fluctué quant à ses périodes de consommation et à la nature des substances prises pour être fiables, sans compter les cocktails d'alcool et de médicaments qu'il prétend avoir absorbés avant certains cambriolages et qui l'auraient vraisemblablement terrassés. Il n'est en tous les cas pas établi qu'il était dépendant à l'époque des faits, ses souvenirs s'étant avérés parfois très précis et sa façon d'agir étant bien plutôt celle d'un professionnel faisant usage de diverses précautions pour éviter de laisser les traces de son passage (non-emploi d'un téléphone portable ayant permis sa localisation, utilisation de gants ou de chaussettes, y compris par-dessus les chaussures, pour réduire le risque d'empreintes digitales ou de semelle et de dépôt de son ADN, lequel a été relevé plusieurs fois sur des traces de gants). Il n'a de surcroît pas eu besoin d'être sevré en prison. Ainsi, sa situation personnelle n'explique aucunement ses agissements, d'autant qu'il a lui-même expliqué que sa famille avait pu l'aider financièrement. Bénéficiant du soutien de celle-ci et étant encore jeune, il aurait fort bien pu travailler dans son pays ou ailleurs et être médicalement suivi pour sa maladie - qui ne paraît pas nécessiter de soins coûteux au vu du certificat médical produit - au lieu de cambrioler. Les mobiles de l'appelant sont égoïstes, puisque relevant de l'appât d'un gain rapide, étant rappelé que le butin obtenu est de l'ordre de CHF 100'000.- et qu'il s'agissait de sa principale, si ce n'est unique, source de revenu. S'il a d'abord tenté de cacher la date de son arrivée en Suisse et donc son implication, sa collaboration a été plutôt bonne au début dans la mesure où il a rapidement admis de nombreux cambriolages, après avoir reconnu les lieux sur place ou sur présentation de photos, y compris cinq cas où il n'y avait ni son ADN, ni d'autres éléments probants à charge, tels que la présence de traces de semelles identiques ou du moins comparables et/ou un lien spatio-temporel étroit, voire la saisie d'une partie du butin, mais s'est quelque peu dégradée par la suite. Il a en effet fluctué dans ses déclarations et a formellement contesté ou émis de sérieux doutes à propos de certaines infractions, en dépit des éléments matériels figurant au dossier, allant</w:t>
      </w:r>
    </w:p>
    <w:p>
      <w:r>
        <w:t>- 10/13 - P/6118/2016 jusqu'à invoquer l'usage en commun d'outils aussi ordinaires qu'un tournevis pour expliquer que son ADN ait pu être retrouvé sur place. Il a également cherché à minimiser son implication, en prétextant une amnésie variable et en restant vague à propos parfois du butin réalisé, mais surtout sur la manière de l'écouler et du revenu ainsi perçu ou encore au sujet des complicités dont il a bénéficié. S'il est notoire que les montants obtenus lors de la revente d'objets volés se révèle généralement bien inférieure à leur valeur réelle, sous réserve de celle des métaux précieux contenus dans les bijoux, le pourcentage, dérisoire, évoqué par l'appelant étant des plus fantaisiste, ses autres explications à cet égard ayant été peu précises, fluctuantes et guère crédibles, en particulier lorsqu'il a prétendu pour la première fois lors de l'audience de jugement avoir été frustré d'une partie de son butin par les actes répréhensibles de tiers. Il n'a formellement identifié l'un de ses comparses qu'après le décès de l'intéressé et a maintenu ne pas connaître les nommés E______ et D______, ce qui semble pour le moins douteux au vu des indices recueillis par la police, tentant aussi d'attribuer le rôle principal au dénommé F______, ainsi qu'à son ami décédé s'agissant plus spécifiquement de la revente du butin obtenu en commun, et se prétendant incapable de fournir la moindre indication utile à l'enquête à propos des personnes ayant écoulé la marchandise. La prise de conscience de l'appelant apparaît faible dans la mesure où il rejette pour l'essentiel la faute de ses agissements sur sa toxicomanie au sens large (consommation de stupéfiants, d'alcool et/ou de médicaments), voire encore sur sa maladie, les excuses présentées et les regrets exprimés principalement lors des débats de première instance et d'appel paraissant en grande partie de circonstance. Il a des antécédents spécifiques et significatifs même s'ils sont relativement anciens et le fait d'avoir purgé une longue peine privative de liberté ne l'a aucunement dissuadé de récidiver, ayant commis le premier cambriolage en Suisse à peine une année après sa sortie de prison, avant de débuter la série de ses autres méfaits sur notre territoire une quinzaine de mois plus tard. Il y a enfin concours d'infractions au sens de l'art. 49 al. 1 CP, ce qui justifie aussi d'augmenter dans une juste proportion la peine de l'infraction la plus grave, soit le vol par métier. Compte tenu de ces éléments, la peine de quatre ans et demi prononcée par le Tribunal correctionnel semble quelque peu excessive, de sorte qu'il convient de la ramener à quatre ans, cette sanction apparaissant plus adaptée à la culpabilité de l'appelant. Le jugement entrepris sera donc réformé sur ce point, ce qui signifie que l'appel s'avère fondé.</w:t>
      </w:r>
    </w:p>
    <w:p>
      <w:r>
        <w:rPr>
          <w:b/>
        </w:rPr>
        <w:t>E. 3</w:t>
      </w:r>
    </w:p>
    <w:p>
      <w:r>
        <w:t>Les motifs ayant conduit les premiers juges à prononcer, par ordonnance séparée du 18 septembre 2017, le maintien de l'appelant, en détention pour des motifs de sûreté sont toujours d'actualité, ce que celui-ci ne conteste au demeurant pas, de sorte que la mesure sera reconduite mutatis mutandis (ATF 139 IV 277 consid. 2.2 à 2.3).</w:t>
      </w:r>
    </w:p>
    <w:p>
      <w:r>
        <w:t>- 11/13 - P/6118/2016</w:t>
      </w:r>
    </w:p>
    <w:p>
      <w:r>
        <w:rPr>
          <w:b/>
        </w:rPr>
        <w:t>E. 4</w:t>
      </w:r>
    </w:p>
    <w:p>
      <w:r>
        <w:t>L'appel étant admis, il ne sera pas perçu de frais (art. 428 CPP a contrario), ce qui n'a pas d'incidence sur les frais de procédure mis à la charge du prévenu en première instance.</w:t>
      </w:r>
    </w:p>
    <w:p>
      <w:r>
        <w:rPr>
          <w:b/>
        </w:rPr>
        <w:t>E. 5</w:t>
      </w:r>
    </w:p>
    <w:p>
      <w:r>
        <w:t>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Est décisif pour fixer la rémunération de l'avocat, le nombre d'heures nécessaires pour assurer la défense d'office du prévenu, compte notamment de la nature et de l'importance de la cause, ainsi que des difficultés particulières qu'elle peut présenter en fait et en droit (art 16. al. 2 RAJ ; arrêts du Tribunal fédéral 6B_810/2010 du 25 mai 2011 consid. 2, 2C_509/2007 du 19 novembre 2007 consid. 4, et les références citées).</w:t>
      </w:r>
    </w:p>
    <w:p>
      <w:r>
        <w:rPr>
          <w:b/>
        </w:rPr>
        <w:t>E. 5.2</w:t>
      </w:r>
    </w:p>
    <w:p>
      <w:r>
        <w:t>En l'occurrence, l'état de frais produit par le défenseur d'office de l'appelant, considéré dans sa globalité, parait adéquat et conforme aux principes applicables en la matière, même si la durée de la préparation de l'audience d'appel de près de 5 heures et 30 minutes est importante, un avocat stagiaire consacrant nécessairement plus de temps à ses activités qu'un avocat chevronné. L'indemnité due à Me B______ sera par conséquent arrêtée à CHF 817.80, correspondant à 8 heures et 35 minutes d'activité au tarif de CHF 65.-/heure, compte tenu de la durée des débats (40 minutes), plus deux vacations de CHF 20.- chacune et la majoration forfaitaire de 10% vu l'activité indemnisée en première instance, ainsi que les frais d'interprète de CHF 160.-, sans TVA.</w:t>
      </w:r>
    </w:p>
    <w:p>
      <w:r>
        <w:t>- 12/13 - P/6118/2016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