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AARP/49/2019 vom 22. Februar 2019</w:t>
      </w:r>
    </w:p>
    <w:p>
      <w:r>
        <w:t>GE Cour de justice, 2019-02-22, FR</w:t>
      </w:r>
    </w:p>
    <w:p>
      <w:r>
        <w:rPr>
          <w:b/>
        </w:rPr>
        <w:t xml:space="preserve">Quelle: </w:t>
      </w:r>
      <w:r>
        <w:t>https://mcp.opencaselaw.ch/entscheid/ge_gerichte_AARP_49_2019</w:t>
      </w:r>
    </w:p>
    <w:p>
      <w:r>
        <w:t>FR: GE_GERICHTE AARP/49/2019 du 22 février 2019</w:t>
      </w:r>
    </w:p>
    <w:p>
      <w:r>
        <w:t>IT: GE_GERICHTE AARP/49/2019 del 22 febbraio 2019</w:t>
      </w:r>
    </w:p>
    <w:p>
      <w:pPr>
        <w:pStyle w:val="Heading2"/>
      </w:pPr>
      <w:r>
        <w:t>Erwägungen</w:t>
      </w:r>
    </w:p>
    <w:p>
      <w:r>
        <w:rPr>
          <w:b/>
        </w:rPr>
        <w:t>E. 1</w:t>
      </w:r>
    </w:p>
    <w:p>
      <w:r>
        <w:t>La demande de révision a été formée par-devant l’autorité compétente et selon la forme prévue par la loi (art. 411 al. 1 CPP).</w:t>
      </w:r>
    </w:p>
    <w:p>
      <w:r>
        <w:t>- 7/13 - P/3053/2017</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2.1.2. La question de savoir si un fait ou un moyen de preuve est nouveau relève de l'appréciation des preuves, tout comme celle de savoir si le fait ou le moyen de preuve nouveau est propre à modifier l'état de fait retenu dans le premier jugement (DCPR/199/2011 du 5 août 2011 ; A. KUHN / Y. JEANNERET [éds], Commentaire romand : Code de procédure pénale suisse, Bâle 2011, n. 15 ad art. 323). Le motif de révision prévu par l'art. 410 al. 1 let. a CPP est ainsi soumis à une double exigence. Outre leur caractère sérieux, les faits ou les moyens de preuve devraient exister déjà avant l'entrée en force du premier jugement. Un fait qui survient postérieurement au jugement dont la révision est demandée ne peut plus être considéré comme inconnu au sens de l'art. 410 al. 1 let. a CPP (L. MOREILLON / A. PAREIN-REYMOND, Petit commentaire CPP, Bâle 2016, n. 16 ad art. 410 et les références citées). Comme cela résulte du texte même de l'art. 410 CPP, la voie de la révision n'est ouverte qu'à l'encontre d'une décision portant sur le fond d'une affaire et non pas contre celles qui sont d'ordre purement procédural (G. PIQUEREZ / A. MACALUSO, Procédure pénale suisse, 3e édition, Zürich 2011, n. 2072). Les faits ou moyens de preuve visés par l'al. 1 de cette disposition doivent être susceptibles de corriger des erreurs de fait qui sont, par exemple, à l'origine du verdict de culpabilité et/ou du prononcé d'une peine ou d'une mesure. 2.1.3.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(ATF 125 IV</w:t>
      </w:r>
    </w:p>
    <w:p>
      <w:r>
        <w:t>- 8/13 - P/3053/2017 79 consid. 1b p. 81).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6B_415/2012 du 14 décembre 2012 consid. 2.3 et 6B_942/2010 du 7 novembre 2011 consid. 2.2.1). 2.1.4.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(cf. ATF 130 IV 72 consid. 2.3 p. 75 s.). Cette jurisprudence, rendue avant l'entrée en vigueur du CPP, garde sa portée (cf. arrêt 6B_310/2011 du 20 juin 2011 consid. 1.3; arrêt 6B_1138/2014 du 16 janvier 2015, consid. 1.3). 2.1.5.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3e édition, Zurich 2011, n. 2108).</w:t>
      </w:r>
    </w:p>
    <w:p>
      <w:r>
        <w:t>- 9/13 - P/3053/2017 L'examen préalable sert avant tout à constater si les motifs invoqués à l'appui de la demande en révision sont vraisemblables (Message, FF 2006, notamment 1305 ad ancien art. 419 - actuel 412 CPP ; A. DONATSCH / T. HANSJAKOB / V. LIEBER (éds), Kommentar zur Schweizerischen Strafprozess-ordnung (StPO), Zurich 2010, n. 1 art. 412).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Zurich 2009, n. 1 ad art. 412; A. KUHN / Y. JEANNERET (éds.), op. cit., n. 3 ad art. 412).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 2.1.6. L'art. 114 al. 1 CPP dispose qu'est capable de prendre part aux débats le prévenu qui est physiquement et mentalement apte à les suivre. En principe, seuls le jeune âge, une altération physique ou psychique sévère ou encore une grave maladie sont de nature à influencer la capacité de prendre part aux débats (ACPR/501/2012 du 15 novembre 2012 ; A. KUHN / Y. JEANNERET (éds), Commentaire romand : Code de procédure pénale suisse, Bâle 2011, n. 3 ad art. 114). Les exigences pour admettre la capacité à prendre part aux débats ne sont pas très élevées, dans la mesure où le prévenu peut faire valoir ses moyens de défense par un défenseur (N. SCHMID, op. cit., n. 3 ad art 114 ; M. NIGGLI / M. HEER / H. WIPRÄCHTIGER, op. cit., n. 7 ad art. 114). Elles peuvent aussi être remplies si le prévenu n'a pas la capacité de discernement ni l'exercice des droits civils (arrêts du Tribunal fédéral 6B_29/2008 du 10 septembre 2008 consid. 1.3 ; 1P.304/1995 du 8 août 1995 consid. 2a ; A. KUHN / Y. JEANNERET (éds), op. cit., n. 2 ad art. 114). 2.2.1. En l'espèce, A______ ne conteste pas s'être vue notifier les ordonnances pénales litigieuses. Elle se prévaut de difficultés personnelles pour expliquer qu'elle n'avait pu en faire part à l'autorité inférieure, ce qui eut impliqué qu'elle eut fait opposition aux ordonnances pénales. Il est allégué à l'appui de la révision qu'elle aurait négligé la gestion administrative de sa vie et les procédures pénales faisant preuve de procrastination.</w:t>
      </w:r>
    </w:p>
    <w:p>
      <w:r>
        <w:t>- 10/13 - P/3053/2017 Il est cependant établi que les périodes pénales courent de janvier 2011 à octobre 2011, de mai à août 2012 et d'octobre 2012 à mars 2015. Durant ces dernières, il apparaît que, dans le cadre de la première ordonnance pénale, le détournement a porté sur l'ensemble des sommes dues à l'Office des poursuites. S'agissant de la seconde ordonnance pénale, sur une période de plus de dix mois, une très grande partie de la somme saisie mensuellement (CHF 4'690.45) a été régulièrement payée à l'Office des poursuites (détournement de CHF 6'940.- au total). Pour les trois périodes pénales visées par la troisième ordonnance pénale, rien n'a été payé durant la première, une partie durant la seconde et à nouveau rien durant la troisième. Il y a donc lieu de considérer que durant une bonne partie de la période pénale, A______ était impliquée dans le respect de l'ordre de saisie et qu'elle a été sensible en tout cas à la première ordonnance pénale puisque par la suite elle a respecté la saisie durant près d'une année, jusque courant 2014. Elle ne parait ainsi de loin pas avoir été totalement négligente en regard de ses obligations administratives, pas plus qu'inconsciente d'avoir commis une infraction, étant relevé que E______ a déclaré avoir ouvert des courriers avec elle, mais restant sans suite. Durant cette même période pénale, A______ s'est rendue à plusieurs reprises soit à l'Office des poursuites, soit à la police. Parallèlement, elle a maintenu en plein son activité professionnelle, outre le fait qu'elle s'est occupée de ses enfants, conjointement avec son mari dont elle était séparée, selon ce qui semble ressortir du dossier. Dans ces circonstances, le fait qu'elle eut consulté dès septembre 2013 parce qu'elle se sentait confrontée à une situation difficile et qu'elle se soit sentie résignée et négligente en rapport à sa situation administrative ne saurait constituer un fait ou un moyen de preuve nouveau dont elle ignorait l'existence lorsqu'il lui était possible de faire opposition et le manifester au premier juge. Les éléments concernant la difficulté de sa situation personnelle étaient présents dès avant la période pénale selon ce qui ressort de l'attestation du Bureau de la Conseillère du personnel de ______ [organisation internationale] alors que sa décision de faire appel à un soutien psychologique est intervenue durant la période pénale, ce qui ne l'a pas empêchée, par la suite, de partiellement satisfaire à la saisie. A cela s'ajoute qu'elle a pu maintenir son travail, ce qui témoigne qu'elle était en mesure de déterminer sur quel domaine elle entendait concentrer ses efforts. On ne saurait ainsi admettre qu'elle était en lâcher-prise avec la réalité au point de ne pas être en mesure de faire une simple opposition. Dès lors qu'elle consultait déjà en septembre 2013 et connaissait sa situation, rien ne l'empêchait de la faire valoir devant un juge, le fait qu'elle néglige des aspects administratifs n'étant dès lors nullement un fait nouveau qu'elle aurait eu pour raison légitime de taire dans le cadre d'une procédure ordinaire, mise en œuvre par l'opposition. Au-delà d'une simple opposition manuscrite, rien ne l'empêchait non plus de recourir à un conseil, le cas échéant. Dans cette mesure, la référence à l'application de l'art. 114 CPP ne trouve pas d'écho dans le dossier, la disposition ne paraissant pas applicable au vu des capacités dont la demanderesse a pu faire montre.</w:t>
      </w:r>
    </w:p>
    <w:p>
      <w:r>
        <w:t>- 11/13 - P/3053/2017 Il s'ensuit que, ne constituant pas un fait nouveau, la situation dont se prévaut A______ n'est pas de nature à justifier une révision, sa demande devant être qualifiée d'abusive au sens de la jurisprudence citée. La demande de révision sera ainsi déclarée irrecevable sans autre acte d'instruction.</w:t>
      </w:r>
    </w:p>
    <w:p>
      <w:r>
        <w:rPr>
          <w:b/>
        </w:rPr>
        <w:t>E. 3</w:t>
      </w:r>
    </w:p>
    <w:p>
      <w:r>
        <w:t>La requérante, qui succombe, supportera les frais de la procédure, comprenant un émolument de CHF 1'500.- (art. 428 CPP et. 14 al. 1 let. e du Règlement fixant le tarif des frais en matière pénale, du 22 décembre 201 [RTFMP ; E 4 10.03]).</w:t>
      </w:r>
    </w:p>
    <w:p>
      <w:r>
        <w:t>* * * * *</w:t>
      </w:r>
    </w:p>
    <w:p>
      <w:r>
        <w:t>- 12/13 - P/3053/2017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