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AARP/497/2016 vom 1. Dezember 2016</w:t>
      </w:r>
    </w:p>
    <w:p>
      <w:r>
        <w:t>GE Cour de justice, 2016-12-01, FR</w:t>
      </w:r>
    </w:p>
    <w:p>
      <w:r>
        <w:rPr>
          <w:b/>
        </w:rPr>
        <w:t xml:space="preserve">Quelle: </w:t>
      </w:r>
      <w:r>
        <w:t>https://mcp.opencaselaw.ch/entscheid/ge_gerichte_AARP_497_2016</w:t>
      </w:r>
    </w:p>
    <w:p>
      <w:r>
        <w:t>FR: GE_GERICHTE AARP/497/2016 du 1 décembre 2016</w:t>
      </w:r>
    </w:p>
    <w:p>
      <w:r>
        <w:t>IT: GE_GERICHTE AARP/497/2016 del 1 dicembre 2016</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133 III 201 consid. 4.2 ; 131 III 91 consid. 5.2 et les arrêts cités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w:t>
      </w:r>
    </w:p>
    <w:p>
      <w:r>
        <w:t>2.1.1. Compte tenu de l'importance du bien juridique protégé par l'art. 3 CEDH, à savoir la dignité humaine, des conditions de détention jugées contraires à cette disposition ne peuvent faire l'objet d'une forme de réparation que par le biais d'une indemnisation fondée sur l'art. 431 CPP ou par une réduction de la peine, référence étant ici faite aux principes applicables en matière de violation du principe de la célérité (ATF 141 IV 349 consid. 2.1 p. 352, 140 I 246 consid. 2.6.2 p. 252, 140 I 125 consid. 2.1 p. 128 et 133 IV 158 consid. 8 p. 170 ; arrêts du Tribunal fédéral 1B_369/2013 du 26 février 2014 consid. 2.1 et 1B_129/2013 du 26 juin 2013 consid. 2.3). On déduit de l'utilisation de la conjonction de coordination "ou" dans les jurisprudences susmentionnées que le prévenu ne peut être mis au bénéfice cumulé d'une indemnisation et d'une réduction de peine (cf. également ATF 130 IV 54 du 22 avril 2004). Il s'agit donc de modes de réparation alternatifs. Si l'on interprète a contrario la récente jurisprudence (ATF 141 IV 349 consid. 2.2 p. 353 s.) – excluant, sous réserve de circonstances particulières, que le constat de conditions de détention illicites puisse déboucher, après l'entrée en force du jugement pénal, sur une modification de celui-ci pour diminuer la peine ou accorder une libération conditionnelle anticipée –, une réduction de la sanction devrait être la règle lorsque le jugement pénal n'est pas encore entré en force et que le prévenu a un solde de peine à subir.</w:t>
      </w:r>
    </w:p>
    <w:p>
      <w:r>
        <w:t>- 7/15 - P/4140/2013 Telle pratique s'inscrirait dans la logique légale favorisant, de manière générale, la voie de la réduction de la peine plutôt que celle de l'indemnisation. Il en va ainsi de l'art. 431 al. 2 CPP (mesures de contraintes illicites ; art. 51 CP), établissant la règle selon laquelle la détention excessive – soit dépassant la quotité de la peine finalement prononcée – est d'abord imputée sur une autre sanction et ne peut donner lieu à une indemnisation que si aucune imputation n'est possible. Le juge doit ainsi retrancher la durée de la détention avant jugement sur les sanctions prononcées en rapport avec d'autres infractions, que ce soit dans la même procédure ou dans une autre. L'intéressé n'a aucun droit de choisir entre l'indemnisation ou l'imputation (ATF 141 IV 236 consid. 3.3 p. 239 ; arrêt du Tribunal fédéral 6B_343/2015 du 2 février 2016 consid. 1.2.4 et les références citées). Il en va de même en cas d'application de l'art. 429 al. 1 let. c CPP, cette dernière disposition ne fondant pas un "droit indépendant" à une indemnité. L'art. 51 CP prévaut, de sorte qu'il n'y a pas lieu d'indemniser le prévenu si une imputation sur la peine en question, ou une autre antérieure, est possible (arrêt du Tribunal fédéral 6B_431/2015 du 24 mars 2016 consid. 2 et 3). 2.1.2. Dans le cadre de la réparation, il n'est pas exclu de s'inspirer des règles générales des art. 41 ss de la loi fédérale du 30 mars 1911, complétant le Code civil suisse (CO, Code des obligations ; RS 220 ; cf. ATF 140 I 246 consid. 2.6 p. 251). Ces dispositions accordent au juge un large pouvoir d'appréciation (cf. ATF 137 III 303 consid. 2.2.2 p. 309 s. ; arrêt du Tribunal fédéral 6B_876/2015 du 2 mai 2016 consid. 4.1). En vertu de l'art. 43 CO, une réparation en nature n'est pas exclue (arrêt du Tribunal fédéral 6B_876/2015 du 2 mai 2016 consid. 4.1 et les références citées). Une telle réparation est déjà pratiquée par la jurisprudence en cas de violation du principe de la célérité. Le Tribunal fédéral considère alors, comme les retards de procédure ne peuvent être guéris, qu'il y a lieu de tenir compte de la violation de ce principe en réduisant la peine (ATF 133 IV 158 consid. 8 p. 170). En pareille hypothèse, la réduction d'une peine s'opère en équité, en fonction de l'ensemble des circonstances de l'espèce, sans imputation mathématique sur celle-ci, du nombre de jours de retard concernés. Il doit donc en aller de même dans le cas où une violation de l'art. 3 CEDH est constatée et appelle réparation. 2.1.3. La réduction de peine à opérer ne saurait équivaloir à la durée de la détention contraire à cette disposition, encore moins être plus importante que celle-ci. On conçoit en effet difficilement, en l'absence de circonstances particulières, les raisons pour lesquelles un prévenu qui a été détenu dans des conditions, certes usuelles mais à tort, devrait souffrir moins que celui qui, emprisonné à juste titre, a passé 23h sur 24h dans un espace confiné pendant trois mois d'affilée. Ainsi, sous l'angle de l'indemnisation et par comparaison avec le montant généralement admis de CHF 200.- par jour en cas de détention injustifiée de courte durée, la CPAR a considéré qu'une indemnité de l'ordre de CHF 20.- à 25.- par jour paraissait adaptée</w:t>
      </w:r>
    </w:p>
    <w:p>
      <w:r>
        <w:t>- 8/15 - P/4140/2013 pour réparer le préjudice subi dans un cas où l'espace disponible était de 3,83 m2 au lieu de 4 m2, laquelle devrait a priori pouvoir être encore réduite dans l'hypothèse où elle se cumulerait avec une indemnisation fondée sur l'art. 429 al. 1 let. c CPP (cf. AARP/367/2015 du 31 août 2015 consid. 4.5.3 et 4.7.3.6, confirmé sur ce point par arrêt du Tribunal fédéral 6B_1057/2015 du 25 mai 2016 consid. 5.3.3). S'il est vrai que les toutes premières décisions de la Chambre de céans en la matière tendaient à des réductions se rapprochant grandement du nombre de jours effectifs de détention dans des conditions illicites (p.ex : AARP/566/2014 du 7 octobre 2014 consid. 9.4 retenant une réduction de six mois pour 277 jours), la pratique tend désormais à privilégier une réduction de peine s'opérant en équité, en regard de l'ensemble des circonstances de l'espèce, par l'application analogique de la réduction effectuée en cas de violation du principe de célérité. Des réductions de deux à trois mois ont été couramment prononcées dans des cas où le prévenu avait subi entre 136 et 257 jours de détention indignes, non conformes aux exigences minima de l'art. 3 CEDH (cf. AARP/308/2016 du 19 juillet 2016 consid. 3.5.3, AARP/251/2016 du 23 juin 2016 consid. 2.3, AARP/226/2016 du 7 mars 2016 consid. 4.2, AARP/403/2015 du 28 septembre 2015 consid. 3.4.2, AARP/223/2015 du 15 mai 2015 consid. 6.4.3, AARP/122/2015 du 20 février 2015 consid. 4.4.3). Plus récemment, la CPAR a accordé des réductions de peine de six et sept mois dans des cas où de telles conditions avaient duré près de 18 mois, respectivement de 20 mois (AARP/451/2016 du 11 novembre 2016 consid. 2.3 et AARP/383/2016 du 26 septembre 2016 consid. 2.3). Dans ces différents cas de figure, la CPAR a implicitement renoncé à déduire les 90 premiers jours de la computation du nombre total de ceux donnant lieu à réparation, car la prise en compte de ce qui tenait d'une sorte de délai de carence ne se concevait que dans l'hypothèse, depuis écartée, d'une diminution mathématique de la peine en fonction du quota de jours concerné (cf. AARP/522/2014 du 7 novembre 2014 consid. 6.4.3). 2.2.1. En l'occurrence, la cause a précisément été renvoyée à la CPAR afin qu'elle fixe à nouveau la peine des prévenus en prenant en considération la période de détention qu'ils ont tous deux passée dans des conditions jugées contraires à l'art. 3 CEDH. 2.2.2. Il est établi que B______ a été détenu dans de telles conditions durant deux périodes, l'une de 169 jours et l'autre de 289 jours, totalisant ainsi 458 jours ou un peu plus de 15 mois, ce qui justifie une réduction de peine d'une certaine importance et évidemment supérieure à celle de trois mois précédemment consentie.</w:t>
      </w:r>
    </w:p>
    <w:p>
      <w:r>
        <w:t>- 9/15 - P/4140/2013 Il n'y a toutefois pas lieu d'augmenter de manière linéaire la diminution de peine susmentionnée en fonction de la nouvelle période de détention illicite à prendre en considération, car, comme en matière de détention injustifiée, il faut admettre qu'en règle générale, il y aura une certaine forme d'adaptation, en ce sens que l'exiguïté de l'espace à disposition sera ressentie moins durement au fil du temps. Sur le plan de la quotité de la réduction, l'intéressé fonde aussi en partie ses conclusions sur un arrêt resté isolé de la CPAR (AARP/522/2014 du 7 novembre 2014 consid. 6.4.4). Il feint d'oublier la teneur de décisions plus récentes et constantes, aux termes desquelles la juridiction d'appel a accordé des réductions de peine de deux à trois mois pour des périodes de détention pouvant aller jusqu'à près de neuf mois. Au demeurant, il résultait de l'arrêt précité que le détenu concerné avait été particulièrement éprouvé par ses conditions de détention, souffrant d'angoisses et d'insomnie et ayant dû bénéficier d'un suivi psychothérapeutique pour améliorer la symptomatologie dépressive qui en résultait, à tout le moins en partie. Or, B______ n'a pas invoqué l'existence d'éléments qui auraient rendu ses conditions de détention encore plus difficiles à supporter, étant rappelé qu'à l'instar de son co-prévenu, il s'en est plaint pour la première fois au stade de l'appel. Il apparaît certes qu'il souffre du diabète, mais outre le fait que cette maladie n'apparaît pas être en lien avec sa détention, il reconnaît lui-même, au moins implicitement, bénéficier d'une prise en charge, notamment médicale, adaptée à son état de santé, nonobstant la situation de surpopulation carcérale. Eu égard à la longueur de la période considérée et des souffrances habituellement générées par la détention subie dans un tel contexte, il convient de lui accorder une réduction de peine de six mois et de ramener ainsi celle qui lui a été infligée à six ans et demi. 2.2.3. En ce qui concerne A______, il est acquis que la durée de détention jugée contraire à l'art. 3 CEDH représente 71 jours. Il est donc fondé à obtenir une réparation, sous la forme d'une réduction de peine, car, comme cela a été exposé, ce mode est plus approprié et doit être privilégié tant qu'il reste possible, une indemnisation devant être tenue pour subsidiaire. Cela est au demeurant conforme aux termes exprès de l'arrêt du 15 août 2016 et aux conclusions précédemment prises par l'intéressé, qu'il a d'ailleurs maintenues dans sa dernière écriture, mais à titre subsidiaire seulement. L'intéressé n'est certes plus détenu, puisqu'il a bénéficié d'une libération conditionnelle le 3 octobre 2016. Il convient toutefois de relever que la compétence du TAPEM pour ordonner une telle mesure est plus que douteuse en l'absence d'un prononcé pénal définitif et exécutoire. Il aurait vraisemblablement appartenu à cette autorité de transmettre à la CPAR la demande de libération de A______, voire à celui-ci de saisir directement la juridiction d'appel d'une telle requête, en application</w:t>
      </w:r>
    </w:p>
    <w:p>
      <w:r>
        <w:t>- 10/15 - P/4140/2013 de l'art. 233 CPP. A cet égard, il convient de rappeler que, dans la jurisprudence relative à la détention pour des motifs de sûreté, plus particulièrement sous l'angle du respect du principe de la proportionnalité, il a parfois été question de prendre en considération une hypothétique libération conditionnelle (arrêt du Tribunal fédéral 1B_363/2015 du 30 octobre 2015), le juge de la détention pouvant exceptionnellement en tenir compte lorsqu'une appréciation des circonstances concrètes permet d'aboutir d'emblée à la conclusion que les conditions en sont réalisées (arrêts 1B_641/2011 du 25 novembre 2011 consid. 3.1 et 1B_122/2009 du 10 juin 2009 consid. 2.3). Cela aurait pu permettre à la CPAR d'apprécier prima facie non seulement les chances de l'intéressé d'obtenir une libération conditionnelle, mais aussi les mérites de son appel en lui accordant éventuellement une libération plus anticipée en lien avec ses conditions de détention, domaine soustrait à la compétence du TAPEM comme cette autorité l'a d'ailleurs relevé. L'argument de A______, en vertu duquel la prise en considération de ses conditions de détention aurait dû lui permettre de sortir de prison avant la date à laquelle sa libération conditionnelle lui a été effectivement octroyée, tombe ainsi à faux. Quant à son grief, selon lequel la réduction de peine plaidée lors du procès d'appel aurait dû lui être accordée à ce moment-là, au lieu d'être "rejetée sèchement", tant "ses conclusions (…) étaient évidentes" sur ce point, il convient de relever qu'outre le fait que, dans son arrêt de renvoi, le Tribunal fédéral a tenu compte d'un laps de temps sensiblement inférieur à celui de l'ordre de trois mois considéré jusque-là comme susceptible de constituer une violation de l'art. 3 CEDH, certes en raison de l'espace à disposition moindre que celui précédemment pris en considération, il apparaît être revenu, depuis lors, sur cette appréciation. En effet, dans un arrêt récent et dans une situation comparable à celle du prévenu, le Tribunal fédéral a considéré que le recourant n'avait "pas été détenu dans des conditions contraires à la dignité humaine", bien qu'ayant été confiné "durant 98 jours consécutifs (…) dans une cellule ne lui offrant (…) qu'un espace individuel de 3.39 m2", puisque cette détention n'avait "dépassé que très faiblement le seuil critique de trois mois" et qu'il s'agissait d'une "durée indicative à prendre en compte dans l'appréciation globale de toutes les circonstances" (cf. arrêt du Tribunal fédéral 6B_1314/2015 du 10 octobre 2016 consid. 4.2). Quoi qu'il en soit, conformément à l'arrêt de renvoi, la CPAR accordera à A______ une réduction de peine, arrêtée en équité à un mois. Compte tenu de la libération conditionnelle qu'il a obtenue, il convient de réduire d'un tiers, soit de dix jours, tant le solde de la peine à exécuter, s'élevant ainsi à un an, sept mois et 21 jours, que la durée du délai d'épreuve qui lui a été imposé, lequel viendra donc à échéance le 25 mai 2018. Ses conclusions chiffrées en indemnisation, tant principales que subsidiaires, sont non seulement très excessives mais aussi dénuées de fondement et doivent par conséquent être rejetées.</w:t>
      </w:r>
    </w:p>
    <w:p>
      <w:r>
        <w:t>- 11/15 - P/4140/2013</w:t>
      </w:r>
    </w:p>
    <w:p>
      <w:r>
        <w:rPr>
          <w:b/>
        </w:rPr>
        <w:t>E. 2.3</w:t>
      </w:r>
    </w:p>
    <w:p>
      <w:r>
        <w:t>;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n. 19 ad art. 429).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AARP/471/2016 du 21 novembre 2016 consid. 4.1.1, AARP/125/2012 du 30 avril 2012 consid. 4.2 ; ACPR/178/2015 du 23 mars 2015 consid. 2.1).</w:t>
      </w:r>
    </w:p>
    <w:p>
      <w:r>
        <w:t>- 12/15 - P/4140/2013</w:t>
      </w:r>
    </w:p>
    <w:p>
      <w:r>
        <w:rPr>
          <w:b/>
        </w:rPr>
        <w:t>E. 3</w:t>
      </w:r>
    </w:p>
    <w:p>
      <w:r>
        <w:t>Les motifs ayant conduit la CPAR à prononcer, par ordonnance séparée du 4 juin 2015, le maintien de B______ en détention pour des motifs de sûreté sont toujours d'actualité, ce que celui-ci ne conteste au demeurant pas, de sorte que la mesure sera reconduite mutatis mutandis (ATF 139 IV 277 consid. 2.2 à 2.3).</w:t>
      </w:r>
    </w:p>
    <w:p>
      <w:r>
        <w:rPr>
          <w:b/>
        </w:rPr>
        <w:t>E. 4</w:t>
      </w:r>
    </w:p>
    <w:p>
      <w:r>
        <w:t>Les frais de la procédure postérieure aux arrêts du Tribunal fédéral du 15 août 2016 seront laissés à la charge de l'Etat (art. 428 a contrario CPP).</w:t>
      </w:r>
    </w:p>
    <w:p>
      <w:r>
        <w:rPr>
          <w:b/>
        </w:rPr>
        <w:t>E. 5.1</w:t>
      </w:r>
    </w:p>
    <w:p>
      <w:r>
        <w:t>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 Les honoraires d'avocat se calculent selon le tarif local, à condition qu'ils restent proportionnés ((arrêt du Tribunal fédéral 6B_392/2013 du 4 novembre 2013 consid.</w:t>
      </w:r>
    </w:p>
    <w:p>
      <w:r>
        <w:rPr>
          <w:b/>
        </w:rPr>
        <w:t>E. 5.2</w:t>
      </w:r>
    </w:p>
    <w:p>
      <w:r>
        <w:t>Par rapport aux prestations facturées par le défenseur privé de l'appelant, une seule entrevue d'une heure parait suffisante aux fins de la procédure d'appel complémentaire, pour laquelle le tarif du chef d'étude sera retenu. Les autres prestations apparaissant avoir toutes été effectuées par Me Z______, qui était encore stagiaire à l'époque, de sorte qu'elles doivent être prises en considération au tarif de CHF 150.- l'heure et non à celui de CHF 450.-. B______ n'obtenant que partiellement gain de cause, l'indemnité qui lui est due pour la procédure postérieure à la reddition de l'arrêt du 15 août 2016 sera arrêtée en équité à CHF 1'000.-, TVA à 8% comprise.</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6.2.2. A teneur de la jurisprudence, est décisif pour fixer la rémunération de l'avocat, le nombre d'heures nécessaires pour assurer la défense d'office du prévenu (arrêt du Tribunal fédéral 2C_509/2007 du 19 novembre 2007 consid. 4). A cet égard,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- 13/15 - P/4140/2013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rPr>
          <w:b/>
        </w:rPr>
        <w:t>E. 6.3</w:t>
      </w:r>
    </w:p>
    <w:p>
      <w:r>
        <w:t>En l'occurrence, l'état de frais produit par le défenseur d'office de A______ n'est pas détaillé, mais mentionne des prestations incluses dans le forfait pour l'activité diverse, soit des entretiens téléphoniques avec ce dernier, ainsi que des courriers qui lui ont été adressés, de même qu'aux "autorités", alors que la CPAR n'en a reçu qu'un seul et que l'activité déployée devant le TAPEM a été indemnisée séparément. S'il est indiqué que la rédaction de l'écriture du 6 octobre 2016 a "nécessité une recherche juridique approfondie", elle ne comporte pas la moindre référence jurisprudentielle ou doctrinale aux fins de tenter de justifier la prise en compte à double de chaque jour de détention contraire à l'art. 3 CEDH ou encore leur indemnisation au tarif journalier de CHF 200.-, sans même parler du cumul invoqué entre une réduction de peine et une indemnisation financière. Au vu de ce qui précède, l'indemnité de Me X______ sera arrêtée à CHF 1'188.-, correspondant à cinq heures d'activité au tarif de CHF 200.-/heure, plus la majoration forfaitaire de 10%, compte tenu de l'activité précédemment facturée, et l'équivalent de la TVA au taux de 8%. * * * * *</w:t>
      </w:r>
    </w:p>
    <w:p>
      <w:r>
        <w:t>- 14/15 - P/4140/2013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