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AARP/493/2015 vom 20. November 2015</w:t>
      </w:r>
    </w:p>
    <w:p>
      <w:r>
        <w:t>GE Cour de justice, 2015-11-20, FR</w:t>
      </w:r>
    </w:p>
    <w:p>
      <w:r>
        <w:rPr>
          <w:b/>
        </w:rPr>
        <w:t xml:space="preserve">Quelle: </w:t>
      </w:r>
      <w:r>
        <w:t>https://mcp.opencaselaw.ch/entscheid/ge_gerichte_AARP_493_2015</w:t>
      </w:r>
    </w:p>
    <w:p>
      <w:r>
        <w:t>FR: GE_GERICHTE AARP/493/2015 du 20 novembre 2015</w:t>
      </w:r>
    </w:p>
    <w:p>
      <w:r>
        <w:t>IT: GE_GERICHTE AARP/493/2015 del 20 novembre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- 7/16 - P/18635/2014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- 8/16 - P/18635/2014</w:t>
      </w:r>
    </w:p>
    <w:p>
      <w:r>
        <w:rPr>
          <w:b/>
        </w:rPr>
        <w:t>E. 2.2</w:t>
      </w:r>
    </w:p>
    <w:p>
      <w:r>
        <w:t>Aux termes de l'art. 19 al. 1 let c. LStup, celui qui, sans droit, aliène ou prescrit des stupéfiants, en procure de toute autre manière à un tiers ou en met dans le commerce, est puni d'une peine privative de liberté de trois ans au plus ou d'une peine pécuniaire.</w:t>
      </w:r>
    </w:p>
    <w:p>
      <w:r>
        <w:rPr>
          <w:b/>
        </w:rPr>
        <w:t>E. 2.3</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Le principe de la faute suppose toutefois la liberté d'agir autrement. Ainsi, l'on ne pourra pas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Stämpfli Verlag AG, Bern, 2010, n. 27/28 ad art. 115 LEtr - arrêts du Tribunal fédéral 6B_783/2011 du 2 mars 2012 consid. 1.3 ; 6B_482/2010 du 7 octobre 2010 consid. 3.2.2 ; 6B_85/2007 du 3 juillet 2007 consid. 2.3). 2.4.1. En l'espèce, il ressort tant du rapport de police du 6 septembre 2014, dont le contenu a été confirmé ultérieurement par son auteur que des déclarations de C______, que ce dernier s'est bien fait remettre deux boulettes de cocaïne par l'appelant le 5 septembre 2014, en échange d'un paiement de CHF 140.-. Les explications données par le gendarme, selon lesquelles l'appelant aurait immédiatement remis à B______ les billets que l'acheteur venait de lui donner, sont par ailleurs compatibles avec la saisie des billets effectuée sur celui-là. Le fait que l'acheteur ait déclaré devant le MP que l'appelant n'était pas accompagné n'est pas de nature à faire douter la CPAR de son implication, ce d'autant moins qu'il n'a pas totalement exclu la présence d'B______ au moment où ladite transaction est intervenue. Par ailleurs, quand bien même un doute subsisterait quant à la présence d'un tiers lors de la remise de la drogue, cela permettrait tout au plus d'innocenter ce dernier, et non</w:t>
      </w:r>
    </w:p>
    <w:p>
      <w:r>
        <w:t>- 9/16 - P/18635/2014 l'appelant, dont la participation est établie de manière incontestable par un rapport de police et deux témoignages, sans que ses explications fantaisistes sur la provenance de l'argent saisi ne permettent d'inverser cette tendance. Au vu de ce qui précède, le jugement du Tribunal de police doit être confirmé en ce qu'il a reconnu A______ coupable d'infraction à l'art. 19 al. 1 LStup. 2.4.2. Il n'est pas contesté que l'appelant a séjourné en Suisse sans être au bénéfice des autorisations nécessaires, ce qu'il a d'ailleurs admis à chacune de ses auditions. Il a aussi reconnu n'avoir entrepris aucune démarche en vue de régulariser sa situation. Certes, il a déposé une demande d'asile en mai 2014. Il a toutefois été débouté dans sa démarche, des décisions de non-entrée en matière et de renvoi ayant été prononcées à son encontre le 8 juillet 2014. L'appelant ment quand il affirme le 2 octobre 2014 avoir ignoré le sort réservé à sa demande d'asile, dès lors qu'il a dit le contraire un mois plus tôt. Il en va de même des explications qu'il a fournies le 17 mars 2015 en lien avec l'interdiction d'entrée en Suisse. À sa prétendue méconnaissance de l'irrégularité de sa situation a suivi une période où il était parfaitement au courant de la mesure prise par le SEM contre laquelle il a même dit avoir fait opposition. Débouté dans sa demande d'asile, faisant l'objet d'une décision de renvoi, dépourvu des autorisations nécessaires ainsi que de tout moyen de subsistance, l'appelant a délibérément choisi de rester en Suisse, alors qu'il savait ne pas être autorisé à y rester. Le fait que les vols à destination du Liberia ont été suspendus à partir du 7 novembre 2014 pour des motifs sanitaires n'est pas de nature à rendre son séjour en Suisse licite à compter de cette date, en plus du fait que les départs volontaires restaient possibles. L'appelant n'était pas pour autant dans l'impossibilité de quitter le sol helvétique, y compris à destination du Liberia ou à tout le moins pour un autre pays, comme en Espagne où l'appelant avait manifesté l'intention de se rendre. Au vu de ces éléments, en séjournant en Suisse du 22 août 2014 au 17 mars 2015, sans les autorisations nécessaires et dépourvu de tout moyen de subsistance, l'appelant s'est bien rendu coupable d'infraction à l'art. 115 al. 1 let. b LEtr. Le jugement entrepris sera dès lors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- 10/16 - P/18635/2014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w:t>
      </w:r>
    </w:p>
    <w:p>
      <w:r>
        <w:rPr>
          <w:b/>
        </w:rPr>
        <w:t>E. 6</w:t>
      </w:r>
    </w:p>
    <w:p>
      <w:r>
        <w:t>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3e éd. 2012, n. 12 ad art. 115 LEtr ; T. HUGI YAR, Das Urteil El Dridi, die EU- Rückkührungsrichtlinie und der Schengen-Besitzstand, Jusletter du 11 juillet 2011, note 11, arrêt du Tribunal fédéral 6B_320/2013 du 29 août 2013 consid. 3.2.). L'appelant ne saurait dans ces conditions s'en prévaloir.</w:t>
      </w:r>
    </w:p>
    <w:p>
      <w:r>
        <w:t>- 11/16 - P/18635/2014 3.1.3.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 du Tribunal fédéral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3.1.4.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p. 97 ; arrêts du Tribunal fédéral 6B_787/2014 du 27 novembre 2014 consid. 1.3.2 et 6B_262/2012 du 4 octobre 2012 consid. 1.3.2).</w:t>
      </w:r>
    </w:p>
    <w:p>
      <w:r>
        <w:t>- 12/16 - P/18635/2014 3.1.5.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En l'espèce, l'appelant a des antécédents, dont certains sont spécifiques. Son absence de statut en Suisse l'empêche de vivre autrement que de la charité publique. Ce défaut de ressources financières l'incite à vouloir améliorer sa situation en vendant de la drogue, ce qui fait naître un risque sérieux de récidive. Ces éléments rendent le pronostic futur défavorable, ce qui conduit à écarter le sursis. 3.2.2. La gravité de la faute de l'appelant se manifeste par la réitération d'actes délictueux sur une courte période. Alors qu'il a été arrêté pour vente de cocaïne le 6 septembre 2014, il a persisté dans ses actes illicites une dizaine de jours plus tard, vendant deux sachets minigrips de marijuana le 25 septembre 2014. De même, alors qu'il avait déjà fait l'objet de condamnations par le passé pour infractions à la LEtr, il a persisté à demeurer en Suisse sans bénéficier des autorisations nécessaires, démontrant ainsi sa prise de conscience toute relative et le peu de cas qu'il faisait des décisions des autorités.</w:t>
      </w:r>
    </w:p>
    <w:p>
      <w:r>
        <w:t>- 13/16 - P/18635/2014 Sa collaboration à la procédure doit être qualifiée de moyenne. S'il a certes admis avoir vendu de la marijuana, il n'a cessé de nier toute implication personnelle dans la transaction du 5 septembre 2014. De même, s'il a admis avoir séjourné illégalement en Suisse, à tout le moins pour la période antérieure au 7 novembre 2014, il a varié dans ses explications y relatives, prétendant tantôt connaître certaines des décisions prononcées à son encontre, tantôt en ignorer la teneur. Il ne peut se prévaloir d'aucune des circonstances atténuantes de l'art. 48 CP. Il y a par ailleurs concours réel au sens de l'art. 49 al. 1 CP, ce qui justifie une augmentation de la peine dans une juste proportion. La prise de conscience est quasi inexistante et les perspectives futures particulièrement mauvaises, l'appelant manifestant sa volonté de rester en Suisse et se refusant à entreprendre une quelconque démarche pour quitter le pays. Compte tenu de la situation administrative de l'appelant, le prononcé d'un travail d'intérêt général n'entre pas en considération, cette sanction apparaissant d'emblée inadaptée. Il en va de même du prononcé d'une peine pécuniaire ferme. En effet, une telle sanction n'aurait aucun effet dissuasif sur l'appelant vu son refus d'entreprendre quelque démarche pour mettre fin à son comportement délictueux. Les conditions pour le prononcé d'une courte peine privative de liberté sont réunies, ce genre de peine n'étant pas exclu par l'application de la Directive sur le retour, eu égard à l'infraction conjointe à la LStup. Au vu de ces divers éléments, et dans la mesure où la précédente peine privative de liberté limitée à 90 jours ne semble pas avoir été suffisante pour le dissuader de persévérer dans ses agissements illégaux, une courte peine privative de liberté légèrement supérieure apparait opportune. À cet égard, la peine privative de liberté de quatre mois prononcée par le premier juge, sous déduction de six jours de détention avant jugement, prend correctement en compte l'ensemble des éléments susmentionnés et sera dès lors confirmée. 3.2.3. La non-révocation du sursis octroyé le 18 mai 2014 est acquise à l'appelant, faute d'appel du MP (interdiction de la reformatio in pejus). 4. L'appelant, qui succombe, sera condamné aux frais de la procédure d'appel, comprenant un émolument de décision de CHF 1'500.- (art. 428 CPP et 14 al. 1 let. e du Règlement fixant le tarif des frais en matière pénale du 22 décembre 2010 [RTFMP ; RS E 4 10.03]).</w:t>
      </w:r>
    </w:p>
    <w:p>
      <w:r>
        <w:t>- 14/16 - P/18635/2014 5. 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5.3. En l'espèce, l'appelant a été mis au bénéfice de l'assistance judiciaire, avec effet au 23 janvier 2015. En l'absence de production d'une note de frais afférente à la procédure d'appel, la CPAR est amenée à apprécier l'indemnité due à Me X______, défenseur d'office de l'appelant, ex aequo et bono. S'agissant d'une procédure écrite, la CPAR retiendra 3 heures d'activité de chef d'étude au taux horaire de CHF 200.- pour la rédaction du mémoire d'appel au regard de son contenu et des arguments soulevés. L'indemnisation sera dès lors accordée à hauteur de CHF 777.60 (indemnité forfaitaire de 20% [CHF 120.-] et TVA à 8% [CHF 57.60] comprises). * * * * *</w:t>
      </w:r>
    </w:p>
    <w:p>
      <w:r>
        <w:t>- 15/16 - P/18635/2014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