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AARP/490/2014 vom 30. September 2014</w:t>
      </w:r>
    </w:p>
    <w:p>
      <w:r>
        <w:t>GE Cour de justice, 2014-09-30, FR</w:t>
      </w:r>
    </w:p>
    <w:p>
      <w:r>
        <w:rPr>
          <w:b/>
        </w:rPr>
        <w:t xml:space="preserve">Quelle: </w:t>
      </w:r>
      <w:r>
        <w:t>https://mcp.opencaselaw.ch/entscheid/ge_gerichte_AARP_490_2014</w:t>
      </w:r>
    </w:p>
    <w:p>
      <w:r>
        <w:t>FR: GE_GERICHTE AARP/490/2014 du 30 septembre 2014</w:t>
      </w:r>
    </w:p>
    <w:p>
      <w:r>
        <w:t>IT: GE_GERICHTE AARP/490/2014 del 30 settembre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w:t>
      </w:r>
    </w:p>
    <w:p>
      <w:r>
        <w:t>- 18/29 - P/4962/2012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w:t>
      </w:r>
    </w:p>
    <w:p>
      <w:r>
        <w:rPr>
          <w:b/>
        </w:rPr>
        <w:t>E. 2.2</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w:t>
      </w:r>
    </w:p>
    <w:p>
      <w:r>
        <w:t>- 19/29 - P/4962/2012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(arrêt du Tribunal fédéral 6B_1066/2013 du 27 février 2014 consid. 4.1).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 arrêt du Tribunal fédéral 6B_1066/2013 précité).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 du Tribunal fédéral 6B_1066/2013 précité). Il faut en revanche retenir l'assassinat lorsqu'il ressort des circonstances de l'acte que son auteur fait preuve du mépris le plus complet pour la vie d'autrui (ATF 120 IV 265 consid. 3a p. 274 ; 118 IV 122 consid. 2b p. 126 ; cf. également ATF 117 IV 369 consid. 19b p. 394 ; arrêt du Tribunal fédéral 6B_1066/2013 précité). 2.3.1. C'est à juste titre que l'appelant ne conteste pas la qualification juridique d'assassinat, eu égard au mobile allégué, à la violence et la lâcheté de l'attaque à l'égard d'une victime beaucoup plus faible et qui a désespérément tenté de se</w:t>
      </w:r>
    </w:p>
    <w:p>
      <w:r>
        <w:t>- 20/29 - P/4962/2012 défendre comme en attestent les dix lésions de défense, dont l'une au moins très profonde, et au comportement sans scrupule qu'il admet avoir eu après les faits, pour s'être emparé de toute les économies présentes, avoir froidement vaqué à ses occupations quotidiennes non sans avoir pris le soin de régler de multiples factures, passé la nuit à jouer au casino et encore laissé à son épouse l'argent nécessaire à solder une poursuite. Le verdict de culpabilité devant être confirmé, il n'y a en tout état pas lieu à modification du dispositif du jugement sur ce point. 2.3.2. Dans la mesure où le déroulement des événements exerce une influence sur la peine, il convient néanmoins d'examiner le grief relatif à l'état de fait retenu par les premiers juges. 2.3.2.1. Contrairement à ce que soutient l'appelant, cet état de fait a bien été l'objet de l'instruction. En particulier celle-ci a porté sur le motif qui avait conduit l'appelant à se rendre au domicile de la victime armé d'un couteau, sur la façon dont il avait pénétré dans l'immeuble puis dans l'appartement de la victime, sur le port d'un casque et de gants, évoqué dès la première audition de l'épouse de l'intéressé, et le sort réservé à ces objets, ainsi que sur l'enchainement des événements dans l'appartement, lequel doit être déduit non seulement des déclarations de l'appelant mais aussi des éléments objectifs réunis grâce à ladite instruction, tels que la position du cadavre, la présence des deux sachets de médicaments, la quasi-totale absence de traces biologiques ou papillaires de l'auteur, le fait que le robinet était resté ouvert, la position des taches et gouttes de sang. L'appelant est d'autant plus mal venu de soutenir le contraire qu'en particulier, la question de savoir si C______ avait reçu les coups de couteau alors qu'il se tenait debout devant son évier, en train de préparer un médicament soluble, ou après une discussion à la table de la cuisine, a longuement été abordée lors de la reconstitution des faits. S'il y a un moment où cet état de fait n'a pas, de façon surprenante, été évoqué, c'est lors de la rédaction de l'acte d'accusation qui mentionne que les coups auraient été donnés après une brève discussion entre les protagonistes, "selon" le prévenu. Toutefois, dans la mesure où l'état de fait litigieux n'est pas déterminant pour retenir la qualification juridique d'assassinat, au demeurant admise par l'appelant, l'absence de mention dans l'acte d'accusation ne pose pas de problème au regard de la maxime d'accusation. L'appelant ne le soutient d'ailleurs pas. 2.3.2.2. La CPAR partage l'analyse du dossier des premiers juges. De nombreux indices conduisent à la conclusion que l'appelant, portant vraisemblablement son casque pour rendre son identification plus difficile, a attendu qu'un passant ouvre la porte de l'immeuble de la victime, qui avait pour habitude de ne pas verrouiller celle de son logement. Ganté et tenant l'arme du crime, il est entré et a assailli C______ par surprise, alors qu'il se tenait devant ledit évier, dont le robinet était ouvert, occupé à préparer son médicament soluble. S'en est suivie une brève lutte au cours de</w:t>
      </w:r>
    </w:p>
    <w:p>
      <w:r>
        <w:t>- 21/29 - P/4962/2012 laquelle la victime a tenté de se défendre, d'où les nombreuse lésions de défense constatées, et est tombée dans la position dans laquelle son corps a été trouvé, les pieds à la hauteur de la cuisinière, soit juste à côté de l'évier, les sachets de médicament, tous deux tachés de sang et dont l'un était partiellement ouvert, gisant à proximité. L'appelant s'est ensuite rendu dans la chambre à coucher, sans fermer le robinet ni passer sous le filet d'eau ses mains, gantées, dont l'une au moins était souillée du sang de la victime contrairement à sa veste, qu'il a portée tout au long du reste de la journée, et s'est rendu dans la chambre à coucher où il a trouvé et empoché les économies de la victime. Cette version des faits est parfaitement compatible avec les conclusions de l'autopsie, l'absence de traces ADN ou papillaires de l'appelant – sous réserve d'une trace sur le verrou qu'il affirme ne pas avoir touché –, l'absence de traces de sang dans l'évier, le fait que le robinet était ouvert et la présence de traces de sang dans d'autres pièces de l'appartement, jusque sur les enveloppes ayant contenu l'argent dérobé. La version des faits de l'appelant est en revanche peu plausible, à commencer par le but dans lequel il dit avoir emporté un couteau, alors que son expérience passée lui avait déjà enseigné qu'en obtenant quelque chose par la contrainte, il ne s'assurait pas pour autant du silence ultérieur de la victime, en passant par les gants, tombés au sol tantôt sur le trottoir devant l'immeuble de la victime, tantôt dans la cuisine de celle- ci, et qu'il prétend avoir enfilés uniquement après avoir tué sans pouvoir expliquer pourquoi il aurait agi de la sorte à ce stade, et d'autres bizarreries de son récit. Ainsi en est-il du fait qu'il prétend avoir frappé à la porte de C______ alors qu'il avoue avoir attendu afin de pouvoir pénétrer subrepticement dans l'immeuble ou de son hypothèse selon laquelle la victime aurait pu se rapprocher de la cuisinière avant de mourir, malgré les conséquences rapidement létales de la section des deux artères carotides. Contrairement à ce que l'appelant soutient, ses dires ne sont pas non plus compatibles avec les constatations des experts, le médecin légiste ayant exclu que la plaie no 3 ait pu être infligée alors que les deux protagonistes se trouvaient face à face, pour autant que l'agresseur fût droitier, et l'expert du diabète ayant fait de même en ce qui concerne la crise que l'appelant prétend avoir eue lors des faits et qu'il met sur le compte de son diabète. En prolongement, l'explication selon laquelle l'appelant aurait ouvert lui-même le robinet pour se passer de l'eau sur les yeux afin de calmer la prétendue crise perd tout son sens. Au-delà de ces invraisemblances, force est de constater que l'appelant n'a pas seulement oublié certains faits, mais bien qu'il s'est contredit à de multiples reprises et a menti. Ainsi a-t-il péremptoirement affirmé, lors de plusieurs auditions, qu'il n'avait pas de gants sur lui lors des faits, allant jusqu'à expliquer l'absence de traces papillaires ou ADN par des manches trop longues, pour ensuite admettre le</w:t>
      </w:r>
    </w:p>
    <w:p>
      <w:r>
        <w:t>- 22/29 - P/4962/2012 contraire ; ses déclarations, fluctuantes jusqu'au débats d'appel, au sujet de ce qu'il a expliqué à son épouse sont contredites par celles de l'intéressée ; toujours au sujet du casque, l'une au moins de ses déclarations sur la fermeture du magasin où il dit avoir voulu faire remplacer la visière est fausse ; l'appelant a encore varié sur l'endroit où il avait déposé le couteau durant le déjeuner du 7 avril 2012, dans le but d'expliquer la présence de l'ADN de la victime dans son autre – ou allégué tel – casque, retrouvé dans son scooter. Les déclarations, variables, invraisemblables et sur certains points à tout le moins fausses de l'appelant sont donc bien peu crédibles. A cela s'ajoute l'intérêt évident à atténuer quelque peu la grande gravité des faits, en niant la préméditation, tant dans le contexte de la procédure, quand bien même l'assassinat n'est pas contesté, que pour préserver ce qui peut encore l'être de son image aux yeux de son entourage. Il n'y a donc pas lieu de corriger l'état de fait retenu par les premiers juges.</w:t>
      </w:r>
    </w:p>
    <w:p>
      <w:r>
        <w:rPr>
          <w:b/>
        </w:rPr>
        <w:t>E. 3</w:t>
      </w:r>
    </w:p>
    <w:p>
      <w:r>
        <w:t>3.1.1. 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En l'état des connaissances de la science forensique, le jeu pathologique doit être l'expression d'un trouble de la personnalité prononcé ou démontrer un développement psychopathologique, qui a conduit à une altération de la personnalité du prévenu et de la faculté de gérer sa vie. Or, sur la base des critères donnés dans la littérature spécialisée, tel n'est souvent pas le cas (arrêt du Tribunal fédéral 6P.153/1999 du 27 avril 2000, consid. 4bb; M. NIGGLI / H. WIPRÄCHTIGER, Basler Kommentar Strafrecht I : Art. 1-110 StGB, Jugendstrafgesetz, 2e éd., Bâle 2007, n. 33 ad art. 59). Ainsi, une addiction ordinaire au jeu ne suffit pas pour reconnaître une limitation de responsabilité au sens de l'art. 19 al. 2 CP. 3.1.2.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(art. 10 al. 2 CPP; ATF 102 IV 225 consid. 7b,</w:t>
      </w:r>
    </w:p>
    <w:p>
      <w:r>
        <w:t>- 23/29 - P/4962/2012 A. KUHN / Y. JEANNERET (éds), Commentaire romand : Code de procédure pénale suisse, Bâle 2011, n. 34 ad art. 20 CP). Toutefois, il ne peut s'en écarter que lorsque des circonstances ou des indices importants et bien établis en ébranlent sérieusement la crédibilité ; il est alors tenu de motiver sa décision de ne pas suivre le rapport d'expertise (ATF 133 II 384 consid. 4.2.3; 129 I 49 consid. 4; 128 I 81 consid. 2). La tâche de l'expert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w:t>
      </w:r>
    </w:p>
    <w:p>
      <w:r>
        <w:rPr>
          <w:b/>
        </w:rPr>
        <w:t>E. 3.2</w:t>
      </w:r>
    </w:p>
    <w:p>
      <w:r>
        <w:t>Sans nier l'addiction au jeu de l'appelant, force est de constater que la conclusion de l'experte à cet égard et les éléments sur lesquels elle s'est appuyée pour y parvenir n'emportent pas conviction. Celle-ci s'est en effet persuadée que la dépendance au jeu avait eu des répercussions sérieuses dans la vie de l'appelant en se fondant sur des circonstances qui n'étaient pas réalisées en avril 2012. A cette date, l'appelant avait certes quelques dettes et des poursuites avaient été engagées, mais les montants en jeu étaient mineurs et l'intéressé était parvenu à réaliser des économies. Au plan privé, il était perçu positivement par son épouse et son frère, qui était également son employeur. Il n'avait apparemment pas de mauvais contacts avec son fils non plus. L'experte semble également avoir pris pour acquis que les faits s'étaient déroulés de la façon décrite par l'appelant, lequel avait notamment insisté sur le fait qu'il n'y avait pas eu de préméditation, raison pour laquelle elle a pu retenir que son monde s'était écroulé lors de la prétendue dispute avec la victime. Dans le corps de son rapport ou lors de son audition par le MP, l'experte a affirmé que l'addiction avait diminué la capacité de l'appelant de se déterminer d'après son appréciation – correcte – du caractère illicite de ses actes sans motiver cette conclusion. A l'audience de jugement elle a évoqué le fait qu'en l'absence d'addiction, il n'y aurait pas eu de passage à l'acte faute de répercussions sur la vie quotidienne et que c'était le contexte, soit le fait que son monde s'écroulait, qui avait influé sur la capacité volitive de l'appelant. Or, le simple fait qu'il y ait un lien entre un trouble et le passage à l'acte n'entraine pas ipso facto ipso jure une diminution de responsabilité. Quant au contexte, outre le fait que même selon la version de l'appelant, celui-ci s'attendait à un refus de C______ de lui octroyer un délai de remboursement et s'y était préparé, il demeure en tout état que cette version a été écartée.</w:t>
      </w:r>
    </w:p>
    <w:p>
      <w:r>
        <w:t>- 24/29 - P/4962/2012 On peut observer encore que l'appelant concède implicitement que l'addiction au jeu n'a pas eu d'effet sur sa responsabilité, dans la mesure où il assied sa démonstration non pas sur l'addiction en tant que telle mais sur un trait de personnalité accompagnant généralement les addictions et présent dans son cas, soit l'impulsivité. Or, cette impulsivité, si elle a pu jouer un rôle dans le passage à l'acte, n'en demeure pas moins neutre au plan de la responsabilité, comme admis par l'experte elle-même. Dans ces circonstances, les premiers juges se sont à juste titre écartés des conclusions de l'expertise. Le jugement entrepris sera confirmé sur ce point également.</w:t>
      </w:r>
    </w:p>
    <w:p>
      <w:r>
        <w:rPr>
          <w:b/>
        </w:rPr>
        <w:t>E. 4.1</w:t>
      </w:r>
    </w:p>
    <w:p>
      <w:r>
        <w:t>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4.2</w:t>
      </w:r>
    </w:p>
    <w:p>
      <w:r>
        <w:t>Le repentir sincère est incompatible avec le déni d'une partie des faits, ce qui suffit pour écarter cette circonstance atténuante. A cela s'ajoute que la collaboration de l'appelant, effectivement assez bonne s'agissant des faits qu'il admet, la sincérité de ses regrets et les gestes en faveur de la compagne de la victime, ne suffisent pas eu égard à la définition jurisprudentielle restrictive du repentir sincère. Quant aux efforts entrepris par l'appelant sur le plan personnel, ils sont sans doute louables, mais ils visent au premier chef l'amélioration de sa situation. L'appel est donc rejeté sur ce point.</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- 25/29 - P/4962/2012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5.2</w:t>
      </w:r>
    </w:p>
    <w:p>
      <w:r>
        <w:t>La faute de l'appelante est très lourde. Celui-ci a porté atteinte au bien supérieur protégé par notre ordre juridique, soit la vie humaine. Il s'en est pris à une victime faible et âgée, en dépit de la norme sociale universelle voulant que l'on épargne tout particulièrement les plus vulnérables, soit les enfants et les vieillards. Il a agi avec lâcheté et sauvagerie. Dans la mesure où il est lié au prêt concédé par la victime, le mobile est particulièrement odieux, C______ ayant été assassiné pour avoir eu la bonté d'octroyer un prêt. À cela s'ajoutent le vol des économies présentes dans l'appartement, circonstance conduisant à appliquer les règles sur le concours d'infractions et devant être tenue pour également odieuse, que l'appelant ait eu dès le départ l'intention de retirer de la sorte un profit supplémentaire de son geste ou qu'il ait eu la présence d'esprit d'y songer après son geste brutal, ainsi que la conduite de l'appelant après les faits. Les conséquences ont en outre été dures pour la partie plaignante, brutalement privée de la présence de son compagnon au moment où son état de santé la contraignait à vivre dans un EMS. Comme retenu par les premiers juges, la responsabilité de l'auteur était entière et il n'y a pas de circonstances atténuantes. A décharge, il faut tenir compte de l'état psychologique de l'appelant lors de la commission de l'acte, de sa collaboration, bonne s'agissant des faits admis, et de sa prise de conscience, les regrets évoqués tant s'agissant de la victime et de ses proches que de l'entourage étant réels. La situation personnelle de l'appelant était relativement favorable au moment des faits, dans la mesure où il était entouré d'une famille aimante et avait un emploi, bien que la situation financière fût relativement modeste. L'appelant souffrait cependant des troubles mis en évidence par l'experte, dont deux ont joué un rôle dans le passage à l'acte.</w:t>
      </w:r>
    </w:p>
    <w:p>
      <w:r>
        <w:t>- 26/29 - P/4962/2012 Il n'avait pas d'antécédents, son casier judiciaire étant désormais vierge. Il faut cependant rappeler que l'absence d'antécédents ne joue en principe pas de rôle dans la fixation de la peine (ATF 134 IV 1) et que l'appelant n'a pas su tirer les leçons qui s'imposaient suite aux événements de 2003. Au regard de l'ensemble de ces circonstances, la CPAR estime qu'en fixant la peine à un niveau proche du maximum légal, les premiers juges ont dépassé l'échelon, certes supérieur, adéquat eu égard à la faute et n'ont pas suffisamment tenu compte des éléments à décharge. Il convient partant d'admettre partiellement l'appel sur ce point et de ramener la peine à 15 ans de privation de liberté.</w:t>
      </w:r>
    </w:p>
    <w:p>
      <w:r>
        <w:rPr>
          <w:b/>
        </w:rPr>
        <w:t>E. 6.1</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rPr>
          <w:b/>
        </w:rPr>
        <w:t>E. 6.2</w:t>
      </w:r>
    </w:p>
    <w:p>
      <w:r>
        <w:t>L'appelant requiert le prononcé d'un traitement ambulatoire. Suivre cette conclusion pourrait revenir à contrevenir à la violation du principe de l'interdiction de la reformatio in pejus. Toutefois, dans la mesure où la peine est par ailleurs réduite et où la mesure est réclamée par le prévenu lui-même, il faut admettre que tel n'est pas le cas. L'experte a posé un diagnostic de trouble des habitudes et des impulsions, jeu pathologique, de trouble lié à l'utilisation d'alcool et de traits de personnalité émotionnellement labile, type impulsif. Si ce diagnostic n'emporte pas de conséquences au plan de la responsabilité pénale, il demeure qu'il est en lien avec les faits et que dans cette mesure un traitement doit être tenu pour propre à réduire le risque de récidive. Il convient dès lors de donner suite à cette conclusion de l'appelant.</w:t>
      </w:r>
    </w:p>
    <w:p>
      <w:r>
        <w:rPr>
          <w:b/>
        </w:rPr>
        <w:t>E. 7</w:t>
      </w:r>
    </w:p>
    <w:p>
      <w:r>
        <w:t>L'appelant, qui n'obtient que partiellement gain de cause, supportera les deux tiers des frais de la procédure envers l'État (art. 428 CPP) comprenant un émolument de CHF 3'000.- (règlement fixant le tarif des frais en matière pénale du 22 décembre 2010 (RTFMP; RS E 4 10.03). * * * * *</w:t>
      </w:r>
    </w:p>
    <w:p>
      <w:r>
        <w:t>- 27/29 - P/4962/2012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