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AARP/48/2024 vom 29. Januar 2024</w:t>
      </w:r>
    </w:p>
    <w:p>
      <w:r>
        <w:t>GE Cour de justice, 2024-01-29, FR</w:t>
      </w:r>
    </w:p>
    <w:p>
      <w:r>
        <w:rPr>
          <w:b/>
        </w:rPr>
        <w:t xml:space="preserve">Quelle: </w:t>
      </w:r>
      <w:r>
        <w:t>https://mcp.opencaselaw.ch/entscheid/ge_gerichte_AARP_48_2024</w:t>
      </w:r>
    </w:p>
    <w:p>
      <w:r>
        <w:t>FR: GE_GERICHTE AARP/48/2024 du 29 janvier 2024</w:t>
      </w:r>
    </w:p>
    <w:p>
      <w:r>
        <w:t>IT: GE_GERICHTE AARP/48/2024 del 29 gennaio 2024</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l'occurrence, le TF a renvoyé la cause à la CPAR pour nouvelle décision s'agissant de la culpabilité. Ce faisant, la Haute Cour ne s'est prononcée sur aucune question de fond. Partant, l'autorité d'appel est libre de revoir le jugement du 15 décembre 2020 rendu par le TP tant en ce qui concerne la culpabilité que la peine.</w:t>
      </w:r>
    </w:p>
    <w:p>
      <w:r>
        <w:rPr>
          <w:b/>
        </w:rPr>
        <w:t>E. 2</w:t>
      </w:r>
    </w:p>
    <w:p>
      <w:r>
        <w:t>En qualité de partie plaignante, le lésé peut faire valoir des conclusions civiles déduites de l'infraction par adhésion à la procédure pénale (art. 122 al. 1 CPP). Le tribunal saisi de la cause pénale juge les conclusions civiles indépendamment de leur valeur litigieuse (art. 124 al. 1 CPP). Il statue sur celles-ci lorsqu'il rend un verdict de culpabilité à l'encontre du prévenu (art. 126 al. 1 let. a CPP).</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148 IV 170 consid. 3.3.1). Dès lors que la société intimée a été radiée, n'existe plus et que personne n'a repris la procédure pénale en son nom, la qualité de partie à la procédure doit être niée. Au vu</w:t>
      </w:r>
    </w:p>
    <w:p>
      <w:r>
        <w:t>- 14/27 - P/9687/2011 de son absence de qualité de partie, ses conclusions civiles seront déclarées irrecevables. Le présent arrêt ne lui sera pas notifié, faute de toute existence. La date précise à laquelle cette société a perdu sa qualité de partie n’est toutefois pas déterminée ; lors de la première procédure d’appel elle a encore participé, par le truchement d’un avocat, à l’instruction de la cause. Dans ces circonstances, il n’y a pas lieu de nier sa qualité de partie ex tunc, mais uniquement dans le cadre de la procédure d’appel.</w:t>
      </w:r>
    </w:p>
    <w:p>
      <w:r>
        <w:rPr>
          <w:b/>
        </w:rPr>
        <w:t>E. 3.1</w:t>
      </w:r>
    </w:p>
    <w:p>
      <w:r>
        <w:t>Le principe in dubio pro reo découle de la présomption d'innocence, garantie par l'art. 6 ch. 2 CEDH et, sur le plan interne, par les art. 32 al. 1 de la Constitution fédérale de la Confédération suisse (Cst.) et 10 al. 3 CPP. Il concerne tant le fardeau de la preuve que l'appréciation des preuves au sens large (ATF 144 IV 345 consid. 2.2.3.1 ; 127 I 28 consid. 2a).</w:t>
      </w:r>
    </w:p>
    <w:p>
      <w:r>
        <w:rPr>
          <w:b/>
        </w:rPr>
        <w:t>E. 3.2</w:t>
      </w:r>
    </w:p>
    <w:p>
      <w:r>
        <w:t>Ce principe signifie, au stade du jugement, que le fardeau de la preuve incombe à l'accusation et que le doute doit profiter au prévenu. Le juge ne doit pas se déclarer convaincu de l'existence d'un fait défavorable à l'accusé si, d'un point de vue objectif, il existe des doutes sérieux et irréductibles quant à l'existence de ce fait, une certitude absolue ne pouvant toutefois être exigée (ATF 144 IV 345 consid. 2.2.3.3 ; 127 I 38 consid. 2a).</w:t>
      </w:r>
    </w:p>
    <w:p>
      <w:r>
        <w:rPr>
          <w:b/>
        </w:rPr>
        <w:t>E. 3.3</w:t>
      </w:r>
    </w:p>
    <w:p>
      <w:r>
        <w:t>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 du Tribunal fédéral 6B_324/2017 du</w:t>
      </w:r>
    </w:p>
    <w:p>
      <w:r>
        <w:rPr>
          <w:b/>
        </w:rPr>
        <w:t>E. 3.4</w:t>
      </w:r>
    </w:p>
    <w:p>
      <w:r>
        <w:t>L'appréciation des preuves est dite libre, car le juge peut par exemple attribuer plus de crédit à un témoin – même prévenu dans la même affaire – dont la déclaration va dans un sens qu'à plusieurs témoins soutenant la thèse inverse ; il peut fonder une condamnation sur une chaîne ou un faisceau d'indices ; en cas de "parole contre parole", il doit déterminer laquelle des versions est la plus crédible, de même qu'en cas de versions successives du prévenu (notamment de rétractation d'aveux), ou de déclarations contradictoires de co-prévenus. En d'autres termes, ce n'est ni le genre ni le nombre des preuves qui est déterminant, mais leur force de persuasion (J.- M. VERNIORY, in Y. JEANNERET / A. KHUN / C. PERRIER DEPEURSINGE (éds), Commentaire romand, Code de procédure pénale suisse, 2e éd., Bâle 2019, n. 34 ad. art. 10 CPP).</w:t>
      </w:r>
    </w:p>
    <w:p>
      <w:r>
        <w:t>- 15/27 - P/9687/2011 4. 4.1.1. Commet un abus de confiance au sens de l'art. 138 ch. 1 al. 2 CP, quiconque, sans droit, emploie à son profit ou au profit d'un tiers des valeurs patrimoniales qui lui ont été confiées. 4.1.2.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w:t>
      </w:r>
    </w:p>
    <w:p>
      <w:r>
        <w:rPr>
          <w:b/>
        </w:rPr>
        <w:t>E. 8</w:t>
      </w:r>
    </w:p>
    <w:p>
      <w:r>
        <w:t>mars 2018 consid. 1.1).</w:t>
      </w:r>
    </w:p>
    <w:p>
      <w:r>
        <w:rPr>
          <w:b/>
        </w:rPr>
        <w:t>E. 9</w:t>
      </w:r>
    </w:p>
    <w:p>
      <w:r>
        <w:t>février 2016 consid. 3.1).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121 IV 23 consid. 1c p. 25 ; arrêts du Tribunal fédéral 6B_717/2018 du 10 septembre 2018 consid. 5.1 ; 6B_1383/2016 du 16 mai 2018 consid. 1.1 ; 6B_356/2016 du 6 mars 2017 consid. 2.1 ; 6B_507/2015 du 25 février 2016 consid. 1). 4.1.3. Selon la jurisprudence, la question de savoir si les prêts sont soumis à une obligation de maintien de la valeur doit être examinée au cas par cas. Dans le cas d'un prêt pour lequel aucune utilisation précise n'a été convenue, l'emprunteur n'est pas tenu de conserver la valeur du bien. Une telle obligation peut toutefois être admise lorsque le prêt a été octroyé dans un but précis et que ce but correspond également aux intérêts du prêteur, par exemple en limitant son risque de perte (cf. ATF 129 IV 257 consid. 2.2.2 ; 124 IV 9 consid. 1d ; 120 IV 117 consid. 2f). L'auteur utilise les valeurs patrimoniales de manière illicite lorsqu'il en fait un usage contraire aux instructions données, c'est-à-dire lorsqu'il passe outre le but d'utilisation fixé (ATF 129 IV 257 consid. 2.2.1 ; arrêt du Tribunal fédéral 6B_150/2017 du</w:t>
      </w:r>
    </w:p>
    <w:p>
      <w:r>
        <w:rPr>
          <w:b/>
        </w:rPr>
        <w:t>E. 11</w:t>
      </w:r>
    </w:p>
    <w:p>
      <w:r>
        <w:t>janvier 2018 consid. 3.2, non publié in: ATF 144 IV 52 ; 6B_1422/2019 du 28 mai 2021 consid. 4.4.1). 4.1.4. Du point de vue subjectif, l'auteur doit avoir agi intentionnellement et dans un dessein d'enrichissement illégitime ou de procurer à un tiers un enrichissement illégitime (ATF 118 IV 27 consid. 2a p. 34 ; arrêts du Tribunal fédéral 6B_356/2016</w:t>
      </w:r>
    </w:p>
    <w:p>
      <w:r>
        <w:t>- 16/27 - P/9687/2011 du 6 mars 2017 consid. 2.1 ; 6B_635/2015 du 9 février 2016 consid. 3.1). Le dessein d'enrichissement peut être réalisé par dol éventuel ; tel est le cas lorsque l'auteur envisage l'enrichissement comme possible et agit néanmoins, même s'il ne le souhaite pas, parce qu'il s'en accommode pour le cas où il se produirait (ATF 133 IV 21 consid. 6.1.2 p. 27 ; arrêts du Tribunal fédéral 6B_279/2017 du 23 janvier 2018 consid. 2.1 ; 6B_1022/2014 du 9 juillet 2015 consid. 1.2).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Le dessein d'enrichissement illégitime fait en revanche défaut si, au moment de l'emploi illicite de la valeur patrimoniale, l'auteur en paie la contre- valeur, s'il avait à tout moment ou, le cas échéant, à la date convenue à cet effet, la volonté et la possibilité de le faire ("Ersatzbereitschaft" ; ATF 118 IV 32 consid. 2a p. 34) ou encore s'il était en droit de compenser (ATF 105 IV 29 consid. 3a p. 34 s.). 4.1.5. Bien que cet élément ne soit pas explicitement énoncé par l'art. 138 ch. 1 al. 2 CP, la disposition exige que le comportement adopté par l'auteur cause un dommage, qui représente en l'occurrence un élément constitutif objectif non écrit (ATF 111 IV 19 consid. 5 p. 23 ; arrêts du Tribunal fédéral 6B_249/2017 du 17 janvier 2018 consid. 2.1 in medio ; 6B_224/2017 du 17 novembre 2017 consid. 3.2.1). 4.1.6. Lorsque les valeurs sont confiées à une personne morale et que le devoir de les utiliser de la manière convenue incombe à cette dernière, l'art. 29 let. a CP permet de punir l'organe qui a utilisé les valeurs à d'autres fins (arrêts du Tribunal fédéral 6B_356/2016 du 6 mars 2017 consid. 2.3 ; 6B_162/2015 du 18 novembre 2015 consid. 3.1 ; 6B_528/2012 du 28 février 2013 consid. 4.3). Selon le Conseil fédéral, la notion d'organe correspond à celle du droit civil (FF 1999 1820). La pratique a considéré la notion pénale comme plus étendue, comprenant toutes les personnes qui ont un pouvoir de décision propre dans le cadre des activités sociales (ATF 100 IV 38, consid. 2c, fr. ; M. DUPUIS / L. MOREILLON / C. PIGUET / S. BERGER / M. MAZOU / V. RODIGARI (éds), Code pénal - Petit commentaire, 2ème éd., Bâle 2017, n. 7 ad. 29). 4.2.1. L'art. 18 al. 1 CO prévoit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(arrêt du Tribunal fédéral 6B_972/2018 du 20 novembre 2018 consid. 2.2.2).</w:t>
      </w:r>
    </w:p>
    <w:p>
      <w:r>
        <w:t>- 17/27 - P/9687/2011 4.2.2. Lorsque les parties se sont exprimées de manière concordante,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(ATF 144 III 93 consid. 5.2.1 p. 97 s. ; arrêt du Tribunal fédéral 6B_972/2018 du 20 novembre 2018 consid. 2.2.2). 4.2.3.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(arrêt du Tribunal fédéral 6B_972/2018 du 20 novembre 2018 consid. 2.2.2).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(arrêt du Tribunal fédéral 6B_972/2018 du 20 novembre 2018 consid. 2.2.2 et les références citées). 4.3. En l'espèce, il est établi, et non contesté par l'appelante, qu'une somme de USD 300'000.- a été versée par le prêteur en faveur de l’emprunteuse, sur le compte bancaire d’une société tierce, dans le cadre d'un contrat signé le 22 mai 2006, et que son remboursement n'a pas été effectué dans les différents délais impartis. À cet égard, il importe finalement peu de savoir si les parties entendaient initialement conclure un contrat d'investissement ou un contrat de prêt, dès lors qu'un abus de confiance est susceptible d'avoir été commis quelle que soit la qualification juridique retenue. La question est en revanche celle de savoir si les fonds versés l'ont été dans un but précis ou, en d'autres termes, si l’emprunteuse devait faire un usage déterminé des fonds versés et, dans l'affirmative, si elle a utilisé les valeurs qui lui avait été confiées conformément aux instructions reçues ou non. Il faut examiner dans ce</w:t>
      </w:r>
    </w:p>
    <w:p>
      <w:r>
        <w:t>- 18/27 - P/9687/2011 contexte si l’appelante peut le cas échéant se voir pénalement imputer les actes de l’emprunteuse. Des valeurs patrimoniales confiées Le contrat conclu par les parties le 22 mai 2006 ne précisait rien quant à l'utilisation des fonds, de sorte qu'il convient d'examiner les échanges subséquents entre les parties et leurs déclarations en cours de procédure. Si le prêteur s'est rapidement enquis de l'absence de remboursement des fonds au terme convenu, il s'est également inquiété de l'affectation de la somme versée à l’emprunteuse, sollicitant à plusieurs reprises des explications à ce sujet. L'intimé se préoccupait ainsi tout particulièrement du fait que les fonds avaient pu ne pas faire l'objet de l'investissement sur métaux précieux qui aurait été susceptible de générer les plus-values annoncées lors de la signature du contrat. Face aux demandes (légitimes) du prêteur, l’emprunteuse n'a, à aucun moment, justifié de l'utilisation des fonds versés dans le cadre du contrat du 22 mai 2006. Elle n'a pas non plus démenti l'affectation prêtée aux fonds par le prêteur dans ses différentes communications, se contentant de répondre que l'argent était arrivé sur le compte de la société tierce, propriété de l’appelante, et que celui-ci avait servi pour une "transaction commerciale" avec le prêteur. Dans le cadre du litige civil, antérieur à la procédure pénale, l'appelante et son associé ont tous deux confirmé que le contrat du 22 mai 2006 avait été conclu dans le but d'effectuer une transaction sur le marché de l'or. C'était également ce qui ressortait de la requête de sursis concordataire du 24 juin 2010 déposée par l’emprunteuse et de son appel du 25 novembre 2010 auprès de la Cour de justice. Si les déclarations des parties ont ensuite varié dans le cadre de la procédure pénale, notamment quant à l'investissement spécifique concerné et aux motifs pour lesquels le remboursement n'avait pas pu être effectué dans les délais, il ressort néanmoins des déclarations des différents protagonistes que le contrat conclu entre les parties avait pour objectif le financement à court terme d'une opération spécifique sur le marché des métaux précieux. L'intérêt mensuel de 20% convenu entre les parties avait pour but de sécuriser la participation du prêteur aux bénéfices de l'opération, tout en limitant ses risques de perte. En réalité, ce taux d'intérêt particulièrement élevé s'expliquait par le fait que l’emprunteuse s'attendait à pouvoir reverser un bénéfice substantiel au prêteur suite à l'opération prévue dans les 30 jours suivant la conclusion du contrat et ainsi éviter la mise en œuvre de cette clause. Les déclarations de la prévenue selon laquelle, si l'opération devait échouer, chacun récupérerait son investissement initial et que finalement cette affaire n'avait rien</w:t>
      </w:r>
    </w:p>
    <w:p>
      <w:r>
        <w:t>- 19/27 - P/9687/2011 rapporté constituent également des indices sur le fait qu'il existait bien un projet spécifique auquel étaient destinés les USD 300'000.-. Nonobstant les contradictions apparues entre les différents témoignages récoltés au cours de la procédure pénale, il ressort ainsi des déclarations de l’appelante et de son associé dans le cadre de la procédure civile, ainsi que du très court délai initialement convenu par les parties pour le remboursement, voire du taux d’intérêts inusuel, que celles-ci ont bien conclu le contrat du 22 mai 2006 avec l'objectif d'utiliser les fonds dans un but déterminé, à savoir de procéder à un investissement spécifique sur le marché des métaux précieux. L'appelante n'en avait ainsi pas la libre disposition et ne pouvait se les approprier. De l'utilisation sans droit des valeurs patrimoniales confiées Il ressort du dossier de la procédure, soit en particulier de la documentation bancaire fournie par H______, que la somme de USD 300'000.- versée par l’intimée a fait l'objet de nombreux retraits en espèces depuis les comptes bancaires de la société tierce pour lesquels l’appelante seule était au bénéfice d'un pouvoir de signature. C'est ainsi qu'en l'espace de deux mois, soit entre le 29 mai et le 28 juillet 2006, la quasi-totalité des fonds a été vidée des comptes bancaires de cette société sans qu'il ne soit possible de savoir ce qu'il en était advenu. L'appelante, organe de l’emprunteuse, n'a d'ailleurs jamais allégué que ces retraits auraient été effectués en lien avec l'activité de l’emprunteuse et le contrat litigieux. Elle a même déclaré, en cours de procédure, ne pas savoir ce qu'il était advenu de cet argent. Elle n'a, de ce fait, jamais apporté la preuve que les fonds avaient été utilisés conformément à ce qui avait été convenu entre les parties. Les excuses mises en avant par l'appelante, son associé et l’emprunteuse pour expliquer le retard dans le remboursement de la somme au préteur ne convainquent par ailleurs pas, celles-ci étant dénuées de toute crédibilité. En effet, ni l'appelante, ni son associé et encore moins l’emprunteuse n'ont été en mesure d'apporter la preuve de l'affectation des fonds versés. Par courrier du 29 mars 2007, l’emprunteuse est même allée jusqu'à prétendre que l'argent se trouvait toujours sur le compte de la société tierce et qu'elle était dans l'attente que la banque "le relâche". En réalité, à cette date, la somme versée par le prêteur avait déjà été vidée des comptes bancaires de la société récipiendaire, dont les comptes bancaires en CHF et en EUR affichaient un solde nul et le compte en USD un solde de 603.75. Dans ces circonstances, les fonds confiés par le prêteur n'ont pas été utilisés conformément à ce qui avait été convenu entre les parties lors de la conclusion du contrat du 22 mai 2006. Le sort qui leur a été effectivement réservé souffre de</w:t>
      </w:r>
    </w:p>
    <w:p>
      <w:r>
        <w:t>- 20/27 - P/9687/2011 demeurer incertain, n’étant pas pertinent pour répondre aux questions posées dans la présente procédure. L'intimée a dès lors subi un dommage qui se chiffre au montant de son investissement, sous déduction des remboursements partiels effectués par l'appelante. Par ailleurs, vu sa qualité de directrice de l’emprunteuse et le rôle central qu'elle a joué dans le cadre de la conclusion du contrat, l'appelante possédait un pouvoir de décision propre dans le cadre des activités de la société, de sorte que le comportement reproché ci-dessus doit lui être imputé (art. 29 let. a CP). Au vu de ce qui précède, l'appelante s'est appropriée les valeurs patrimoniales confiées et les a utilisées illicitement, soit dans un but contraire aux instructions reçues de l'intimée. Sur le plan subjectif, elle a agi intentionnellement poursuivant un dessein d'enrichissement illégitime, n'ayant à tout le moins jamais eu la volonté de restituer la somme à l'intimée. Partant, tant les éléments objectifs que subjectifs de l'infraction d'abus de confiance sont réalisés et le verdict de culpabilité retenu par le premier juge sera confirmé. 5. 5.1. L'abus de confiance est un délit instantané qui, dans la configuration de l'usage sans droit de valeurs patrimoniales confiées, est consommé lorsque l'auteur utilise, à son profit ou au profit d'un tiers, les valeurs patrimoniales en s'écartant de la destination fixée (arrêt du Tribunal fédéral 6B_20/2017, 6B_21/2017 du 6 septembre 2017 consid. 6.2).</w:t>
      </w:r>
    </w:p>
    <w:p>
      <w:r>
        <w:t>Il a été retenu ci-dessus que deux mois après la réception des fonds, soit au 29 juillet 2006, ceux-ci n'étaient plus disponibles (sous réserve d’un solde de USD 2'318.33), ayant fait l'objet de divers retraits en espèces. L'infraction a donc été consommée à cette date au plus tard. 5.2. L'abus de confiance au sens de l'art. 138 ch. 1 al. 2 CP est actuellement passible d'une peine privative de liberté de cinq ans au plus ou d'une peine pécuniaire. Le droit actuel permettant de sanctionner l'infraction d'abus de confiance d'une peine pécuniaire est plus favorable que le droit en vigueur au moment de la commission des faits qui prévoyait la réclusion pour cinq ans au plus ou l'emprisonnement, il sera donc appliqué (art. 2 al. 2 CP).</w:t>
      </w:r>
    </w:p>
    <w:p>
      <w:r>
        <w:t>Le TF n'ayant pas examiné la question de la peine, la CPAR peut la refixer librement, dans les limites de l'interdiction de la reformatio in pejus (art. 391 al. 2 CPP), faute d'appel du MP et de la partie plaignante.</w:t>
      </w:r>
    </w:p>
    <w:p>
      <w:r>
        <w:t>5.3. Selon l'art. 47 CP, le juge fixe la peine d'après la culpabilité de l'auteur. Il prend en considération les antécédents et la situation personnelle de ce dernier ainsi que</w:t>
      </w:r>
    </w:p>
    <w:p>
      <w:r>
        <w:t>- 21/27 - P/9687/2011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5.4.1. À teneur de l'art. 34 al. 1 CP, la peine pécuniaire est de trois jours-amende au moins et ne peut excéder 180 jours-amende. Le juge fixe leur nombre en fonction de la culpabilité de l'auteur. Selon l'art. 34 al. 2 2ème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jour amende est en principe de CHF 30.- au moins et de CHF 3'000.- au plus. 5.4.2. La peine pécuniaire constitue la sanction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consid. 4 ; arrêts du Tribunal fédéral 6B_714/2015 du 28 septembre 2015 consid. 1.1 et 6B_894/2014 du 25 mars 2015 consid. 2.1).</w:t>
      </w:r>
    </w:p>
    <w:p>
      <w:r>
        <w:t>- 22/27 - P/9687/2011 5.5.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 tiers du délai de prescription de l'action pénale sont écoulés (ATF 140 IV 145 consid. 3.1). 5.6. L'abus de confiance se prescrit par 15 ans (art. 97 al. 1 let. b CP, ce que prévoyait au demeurant aussi le droit en vigueur au moment de la commission des faits (art. 70 al. 1 let. b aCP et 389 al. 1 CP). D'après l'art. 98 let. a CP, la prescription court dès le jour où l'auteur a exercé son activité coupable. 5.7. Selon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 sursis est la règle dont on ne peut s'écarter qu'en présence d'un pronostic défavorable. Il prime en cas d'incertitude (ATF 135 IV 180 consid. 2.1 ; 134 IV 140 consid. 4.2 ; arrêt du Tribunal fédéral 6B_1339/2016 du 23 mars 2017 consid. 1.1.1). Aux termes de l'art. 44 al. 1 CP, si le juge suspend totalement ou partiellement l'exécution d'une peine, il impartit au condamné un délai d'épreuve de deux à cinq ans. 5.8. En l'espèce, la faute de l’appelante est sérieuse. Elle s'en est prise au patrimoine d'autrui, un bien juridique important, en abusant de la confiance qui avait été placée en elle.</w:t>
      </w:r>
    </w:p>
    <w:p>
      <w:r>
        <w:t>- 23/27 - P/9687/2011 Elle a agi avec désinvolture, faisant primer ses propres intérêts sur ceux de la partie lésée, s’assurant un enrichissement illégitime important, ce qui relève du mobile égoïste et de l’appât du gain. La collaboration de l'appelante a été mauvaise tout au long de la procédure. Elle a en effet livré des versions contradictoires lors des différentes auditions auxquelles elle a pris part et a toujours contesté les faits qui lui étaient reprochés, malgré les éléments à charge du dossier. Elle n'a en particulier jamais expliqué ce qu'il était advenu des montants importants qu'elle avait retirés en espèces depuis les comptes bancaires de G______ SA, précisant ne pas savoir comment les USD 300'000.- avaient été dépensés par F______ SA. Sa prise de conscience est inexistante, l’appelante ayant persisté dans sa version des faits incohérente et tentant même de rejeter à plusieurs reprises la faute sur son associé. Elle n'a en outre rien entrepris pour rembourser l’intimée, ses nombreuses promesses n'ayant jamais été suivies d'effet, à l'exception de remboursements partiels, ce alors-même qu'à la suivre, elle serait, avec feu son époux, à la tête d'une importante fortune. Sa situation personnelle, particulièrement favorable selon ses propres dires, n'explique en rien ses agissements, bien au contraire. L’appelante n’a pas d’antécédent, ce qui est un facteur neutre dans la fixation de la peine. L'infraction ayant été quasi intégralement consommée au plus tard deux mois après la réception des fonds, soit à la fin du mois de juillet 2006, et le délai de prescription de 15 ans ayant commencé à courir dès le lendemain, les deux tiers dudit délai sont déjà largement atteints. L’appelante doit partant être mise d’office au bénéfice de la circonstance atténuante de l’art. 48 let. e CP, laquelle avait déjà été prise en compte dans le cadre du jugement de première instance. Au regard des éléments qui précèdent, la peine pécuniaire de 100 jours-amende à CHF 2'000.- l'unité fixée par le TP ne prête pas le flanc à la critique, étant précisé que l'appelante était libre de fournir des informations actualisées et détaillées quant à sa situation personnelle et financière si celle-ci devait avoir changé, ce qu'elle n'a pas fait. La peine fixée par le TP sera, partant, confirmée. Le sursis, acquis à l'appelante, et le délai d'épreuve de trois ans, adéquat, seront également confirmés.</w:t>
      </w:r>
    </w:p>
    <w:p>
      <w:r>
        <w:t>- 24/27 - P/9687/2011 6.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l'Etat si l'autorité d'appel doit revoir favorablement sa décision à la suite de l'arrêt de renvoi (arrêt du Tribunal fédéral 6B_1367/2017 du</w:t>
      </w:r>
    </w:p>
    <w:p>
      <w:r>
        <w:rPr>
          <w:b/>
        </w:rPr>
        <w:t>E. 13</w:t>
      </w:r>
    </w:p>
    <w:p>
      <w:r>
        <w:t>avril 2018 consid. 2.1). Tel n’est pas le cas en l’espèce. L'appelante, qui succombe, supportera les frais de la procédure envers l'État (art. 428 CPP). L’émolument de décision ne sera toutefois pas augmenté par rapport à celui de l’AARP/337/2021. Par identité de motifs, elle n'a le droit à aucune indemnité fondée sur l'art. 429 CPP. * * * * *</w:t>
      </w:r>
    </w:p>
    <w:p>
      <w:r>
        <w:t>- 25/27 - P/9687/2011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