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AARP/48/2022 vom 9. Februar 2022</w:t>
      </w:r>
    </w:p>
    <w:p>
      <w:r>
        <w:t>GE Cour de justice, 2022-02-09, FR</w:t>
      </w:r>
    </w:p>
    <w:p>
      <w:r>
        <w:rPr>
          <w:b/>
        </w:rPr>
        <w:t xml:space="preserve">Quelle: </w:t>
      </w:r>
      <w:r>
        <w:t>https://mcp.opencaselaw.ch/entscheid/ge_gerichte_AARP_48_2022</w:t>
      </w:r>
    </w:p>
    <w:p>
      <w:r>
        <w:t>FR: GE_GERICHTE AARP/48/2022 du 9 février 2022</w:t>
      </w:r>
    </w:p>
    <w:p>
      <w:r>
        <w:t>IT: GE_GERICHTE AARP/48/2022 del 9 febbraio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2.1.2. L'expulsion facultative prévue à l'art. 66abis CP n'est pas conditionnée à une peine de durée minimale, le législateur ayant souhaité permettre au juge d'ordonner des expulsions en raison d'infractions de moindre gravité, en particulier pour les cas de délits – par exemple le vol – répétés ou de "tourisme criminel" (cf. arrêts du Tribunal fédéral 6B_607/2018 du 10 octobre 2018 consid. 1.1 ; 6B_770/2018 du 24 septembre 2018 consid. 1.1). 2.1.3. Comme toute décision étatique, le prononcé d'une expulsion non obligatoire doit respecter le principe de la proportionnalité, ancré aux art. 5 al. 2, ainsi que 36 al. 2 et 3 Cst. Il convient ainsi d'examiner si l'intérêt public à l'expulsion l'emporte sur l'intérêt privé de la personne à demeurer en Suisse. Une telle pesée des intérêts répond également aux exigences découlant de l'art. 8 par. 2 de la Convention européenne des droits de l'Homme (CEDH)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w:t>
      </w:r>
    </w:p>
    <w:p>
      <w:r>
        <w:t>- 5/9 - P/524/2021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2.1.4. Concernant l'intérêt public, le juge doit se demander si l'expulsion facultative est de nature à empêcher la commission de nouvelles infractions en Suisse (G. FIOLKA / L. VETTERLI, Landesverweisung nach Art. 66a StGB als strafrechtliche Sanktion, cahier spécial, Plädoyer 5/16,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personnes en application d'une aggravante à la LStup, l'intérêt public sera plus élevé (ATF 139 I 16 consid. 4.2. et 5 ss ; G. MÜNCH / F. DE WECK, Die neue Landesverweisung, in Art. 66a ff. StGB, Revue de l'avocat 2016, p. 166 ; M. BUSSLINGER / P. UEBERSAX, Härtefallklausel und migrationsrechtliche Auswirkungen der Landesverweisung, cahier spécial, Plaidoyer 5/2016,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w:t>
      </w:r>
    </w:p>
    <w:p>
      <w:r>
        <w:t>2.2.1. En l'espèce, dès son arrivée en Suisse en décembre 2020, l'appelant a répété les comportements illicites en demeurant sur le territoire sans y être autorisé et en s'adonnant au trafic de stupéfiants, infractions qui ne sont pas anodines au regard des biens juridiques qu'elles protègent et de leurs peines menace, étant relevé qu'en tout état le prononcé d'une expulsion n'est pas conditionnée à une peine minimale, cette mesure pouvant être ordonnée pour des infractions de moindre gravité dans des cas de récidives notamment. Les agissements de l'appelant dénotent un mépris certain pour la santé d'autrui, mais aussi pour les décisions des autorités, sans compter qu'ils causent un préjudice à la collectivité. Il a par ailleurs agi sur une très courte période pénale, les multiples interpellations dont il a fait l'objet n'ayant manifestement eu aucun effet dissuasif. Au vu de son comportement, des réitérations rapides d'actes illicites et de son statut précaire, le prononcé d'une expulsion est dès lors, par sa nature, propre à l'empêcher de commettre de nouvelles infractions en Suisse.</w:t>
      </w:r>
    </w:p>
    <w:p>
      <w:r>
        <w:t>- 6/9 - P/524/2021 L'appelant n'avance de son côté aucun motif sérieux pour s'opposer à son expulsion : il n’a aucune attache en Suisse et n’a pas d'espoir d’y résider légalement dans un avenir proche ou à moyen terme, ce d'autant qu'il n'a entrepris aucune démarche en ce sens. Il possède un titre de séjour italien valable jusqu'en 2031 et, selon ses dires, est au bénéfice d'une formation en pâtisserie qui lui a permis de travailler dans ce pays par le passé. Rien ne permet dès lors de penser que son intégration en Italie serait particulièrement difficile. Il en irait de même pour la Gambie, où il possède encore de la famille proche.</w:t>
      </w:r>
    </w:p>
    <w:p>
      <w:r>
        <w:t>2.2.3. Au vu de ce qui précède, l'intérêt de la Suisse à prononcer l'expulsion dépasse celui de l'appelant à y rester. L'expulsion facultative d'une durée de trois ans, soit le minimum légal, est, partant, proportionnée et adéquate. Elle sera confirmée et l'appel rejeté.</w:t>
      </w:r>
    </w:p>
    <w:p>
      <w:r>
        <w:rPr>
          <w:b/>
        </w:rPr>
        <w:t>E. 3.1</w:t>
      </w:r>
    </w:p>
    <w:p>
      <w:r>
        <w:t>L'appelant, qui succombe, supportera les frais de la procédure d'appel envers l'État, en CHF 1'135.-, comprenant un émolument de jugement de CHF 1'000.- (art. 428 CPP).</w:t>
      </w:r>
    </w:p>
    <w:p>
      <w:r>
        <w:rPr>
          <w:b/>
        </w:rPr>
        <w:t>E. 3.2</w:t>
      </w:r>
    </w:p>
    <w:p>
      <w:r>
        <w:t>Les frais de la procédure préliminaire et de première instance, qui s'élèvent à CHF 2'219.- y compris l'émolument de jugement complémentaire de CHF 600.-, seront laissés à sa charge dans leur totalité.</w:t>
      </w:r>
    </w:p>
    <w:p>
      <w:r>
        <w:rPr>
          <w:b/>
        </w:rPr>
        <w:t>E. 4</w:t>
      </w:r>
    </w:p>
    <w:p>
      <w:r>
        <w:t>Considéré globalement, l'état de frais produit par Me B______, défenseure d'office de A______, satisfait les exigences légales et jurisprudentielles régissant l'assistance judiciaire gratuite en matière pénale.</w:t>
      </w:r>
    </w:p>
    <w:p>
      <w:r>
        <w:t>La rémunération de Me B______ sera partant arrêtée à CHF 452.35 correspondant à une heure et 45 minutes d'activité au tarif de CHF 200.-/heure (CHF 350.-) plus la majoration forfaitaire de 20% (CHF 70.-) et l'équivalent de la TVA au taux de 7.7% en CHF 32.35. * * * * *</w:t>
      </w:r>
    </w:p>
    <w:p>
      <w:r>
        <w:t>- 7/9 - P/524/2021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