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AARP/489/2015 vom 2. November 2015</w:t>
      </w:r>
    </w:p>
    <w:p>
      <w:r>
        <w:t>GE Cour de justice, 2015-11-02, FR</w:t>
      </w:r>
    </w:p>
    <w:p>
      <w:r>
        <w:rPr>
          <w:b/>
        </w:rPr>
        <w:t xml:space="preserve">Quelle: </w:t>
      </w:r>
      <w:r>
        <w:t>https://mcp.opencaselaw.ch/entscheid/ge_gerichte_AARP_489_2015</w:t>
      </w:r>
    </w:p>
    <w:p>
      <w:r>
        <w:t>FR: GE_GERICHTE AARP/489/2015 du 2 novembre 2015</w:t>
      </w:r>
    </w:p>
    <w:p>
      <w:r>
        <w:t>IT: GE_GERICHTE AARP/489/2015 del 2 novembre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2.2.1. Une lésion corporelle est grave notamment lorsque la victime a été blessée de façon à mettre sa vie en danger (art. 122 al. 1 du code pénal suisse du 21 décembre 1937 [CP - RS 311.0]).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w:t>
      </w:r>
    </w:p>
    <w:p>
      <w:r>
        <w:t>- 10/22 - P/17258/2014 question, il ne faut pas analyser le comportement dangereux adopté par l'auteur de la blessure, comme en cas de mise en danger de la vie d'autrui (art. 129 CP), mais bien la nature de la blessure effectivement causée (ATF 124 IV 53 consid. 2 p. 56).</w:t>
      </w:r>
    </w:p>
    <w:p>
      <w:r>
        <w:t>Est également l'auteur d'une lésion corporelle grave celui qui aura défiguré la victime d'une façon grave et permanence (art. 122 al. 2 CP in fine).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 blessé une personne de façon à mettre sa vie en danger ». Il faut donc qu'il y ait une blessure et que celle-ci soit de nature à mettre la vie en danger. Le danger n'intervient que pour qualifier la blessure de grave ; il ne peut pas suppléer la blessure. 2.2.2.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2.2.3.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w:t>
      </w:r>
    </w:p>
    <w:p>
      <w:r>
        <w:t>- 11/22 - P/17258/2014 La tentative par dol éventuel de causer des lésions corporelles graves prime les lésions corporelles réalisées (arrêt du Tribunal fédéral 6B_954/2010 du 10 mars 2011 consid. 3.4 ; M. NIGGLI / M. HEER / H. WIPRÄCHTIGER, Schweizerische Strafprozessordnung - Schweizerische Jugendstrafprozessordnung, Basler Kom- mentar StPO/JStPO, Bâle 2011, n. 28 ad art. 122).</w:t>
      </w:r>
    </w:p>
    <w:p>
      <w:r>
        <w:t>2.3.1. En l'espèce, l'ensemble des lésions causées à la partie plaignante l'ont été au cours d'une seule et même bagarre, de sorte que la théorie des deux phases développée par le MP dans son réquisitoire en appel pour soutenir néanmoins le concours ne peut être suivie. D'ailleurs, ce déroulement en deux phases ne résulte pas de l'acte d'accusation qui décrit un unique complexe de fait sous un unique chef d'accusation (ch. I.1). Pour leur part, les premiers juges ont retenu un concours entre une tentative de lésions corporelles graves et une infraction achevée de lésions corporelles simple aggravées de sorte qu'ils ont nécessairement visé dans les deux hypothèses les mêmes gestes impliquant l'usage du tesson de bouteille, ce qui est exclu. 2.3.2. Aussi seule une infraction aurait-elle dû être admise – les lésions corporelles graves tentées absorbant, le cas échéant, les lésions corporelles simples –, le critère pour choisir entre les deux dispositions entrant en considération tenant à l'intention de l'appelant. Les éléments de la procédure ne permettent pas de retenir qu'en tailladant la victime au visage l'appelant avait l'intention de mettre sa vie en danger, ni même qu'il avait des raisons d'envisager une telle issue. Prima facie, la probabilité de créer un tel danger en agissant de la sorte parait nettement moins élevée que, par exemple, dans le cas de celui qui plante un couteau dans la partie supérieure du torse, où sont logés les organes vitaux que sont le cœur et les poumons, et le dossier ne contient aucune indication, notamment aucun avis médical contraire. D'ailleurs l'acte d'accusation ne décrit pas ce qui permet d'affirmer qu'en coupant la partie plaignante au visage, l'appelant voulait concrètement mettre sa vie en danger, ou à tout le moins acceptait cette éventualité. Il est vrai que le nombre de lésions au visage subi par la victime du fait du tesson, leur longueur, la profondeur d'une plaie et la nécessité d'une prise en charge chirurgicale sont des indices en faveur d'une volonté de défigurer. Toutefois, les coups ont porté sur le côté du visage, ce qui ne va pas dans le sens de l'accusation. Dans le doute, la Cour retiendra donc uniquement la commission d'une infraction achevée de lésions corporelles simples aggravées. Aussi, le verdict de culpabilité sera-t-il annulé dans cette mesure.</w:t>
      </w:r>
    </w:p>
    <w:p>
      <w:r>
        <w:t>- 12/22 - P/17258/2014</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L'appelant a participé à une violente bagarre et le recours au tesson de bouteille doit être qualifié d'autant plus lâche et inutile que l'intéressé avait déjà pris le dessus et que rien ne permet de retenir que son antagoniste tenait lui-même un morceau de verre à la main. Il est à cet égard rappelé que le Tribunal correctionnel a exclu cette circonstance et que l'appelant a affirmé, par le truchement de son défenseur, qu'il ne contestait pas l'état de fait résultant du jugement entrepris, outre que les éléments du dossier ne vont pas dans ce sens. Comme soutenu par le MP, ce geste tenait sans doute à la volonté de faire mal, dans un contexte de rivalité entre les deux hommes. Aussi, le mobile était-il particulièrement futile. Les autres infractions retenues dénotent une incapacité à se tenir aux règles édictées par l'ordre juridique. Il y a concours d'infractions. La faute est donc d'une intensité certaine. La collaboration a été moyenne et, au regard des déclarations de l'appelant, on peut douter qu'il y ait de véritable prise de conscience de l'inadéquation des comportements en cause. Ses antécédents sont mauvais et spécifiques. La situation personnelle de l'appelant ne justifie en aucun cas le recours à la violence. En particulier, l'existence d'une enfant dans le foyer provisoirement occupé par un rival, ne saurait en aucun cas être invoquée à décharge. En revanche, l'existence de</w:t>
      </w:r>
    </w:p>
    <w:p>
      <w:r>
        <w:t>- 13/22 - P/17258/2014 cette même enfant, avec laquelle l'appelant paraît entretenir des relations régulières, doit être prise en considération s'agissant du séjour illégal, sans l'excuser pour autant. Dans ces circonstances, la Cour estime appropriée une peine privative de liberté de 18 mois, de sorte qu'il convient de réformer le jugement de première instance en ce sens.</w:t>
      </w:r>
    </w:p>
    <w:p>
      <w:r>
        <w:rPr>
          <w:b/>
        </w:rPr>
        <w:t>E. 4.1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4.2</w:t>
      </w:r>
    </w:p>
    <w:p>
      <w:r>
        <w:t>En l'occurrence, si les conditions objectives à l'octroi du sursis sont données, on se trouve néanmoins dans une situation limite, l'appelant vivant une relation tumultueuse avec la mère de sa fille, ce qui avait donné lieu à une condamnation</w:t>
      </w:r>
    </w:p>
    <w:p>
      <w:r>
        <w:t>- 14/22 - P/17258/2014 pour diverses infractions, dont des lésions corporelles simples, moins d'un mois avant la bagarre du 21 août 2014 et la prise de conscience n'étant, comme déjà dit, guère perceptible. Le fait que cette relation ait repris ne peut, à cet égard, qu'être source de préoccupation. Il en va de même de la certitude affichée que toute problématique liée à l'alcool serait réglée. Les autres antécédents doivent être pris en considération défavorablement, étant observé qu'ils ne sont pas uniquement liés au statut administratif de l'intéressé. Il reste que l'appelant vient de subir une longue détention, susceptible de lui donner quelque enseignement. Dans ces circonstances, la Cour considère qu'un signal favorable peut encore été donné à l'intéressé, sous la forme d'un sursis partiel, la partie ferme de la peine étant arrêtée à neuf mois, et d'une renonciation à révoquer le sursis du 25 janvier 2013, cette dernière mesure se justifiant aussi compte tenu des démarches entreprises ou envisagées en vue d'une éventuelle régularisation au regard du droit des étrangers. Le jugement dont est appelé sera annulé à cet égard également.</w:t>
      </w:r>
    </w:p>
    <w:p>
      <w:r>
        <w:rPr>
          <w:b/>
        </w:rPr>
        <w:t>E. 5.1</w:t>
      </w:r>
    </w:p>
    <w:p>
      <w:r>
        <w:t>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w:t>
      </w:r>
    </w:p>
    <w:p>
      <w:r>
        <w:t>- 15/22 - P/17258/2014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5.2</w:t>
      </w:r>
    </w:p>
    <w:p>
      <w:r>
        <w:t>La partie plaignante n'a guère fourni d'indications susceptibles d'aider à mesurer l'ampleur de la souffrance subie. Elle a évoqué une attaque "sauvage" mais sa version des faits n'a pas été retenue - au contraire, son propre comportement a favorisé le déclenchement de la bagarre, ou à tout le moins y a contribué, sans que cela ne rende excusable le recours au tesson de verre -. Elle n'indique pas avoir subi une atteinte telle à sa santé psychologique qu'elle aurait eu besoin d'un suivi et n'évoque pas de symptômes d'un traumatisme. Il peut être déduit de ce qu'elle explique avoir "gardé sur son corps, durant plusieurs mois, les traces de [l'] agression" que les cicatrices ont disparu ou sont devenues peu visibles. D'ailleurs, seules des lésions corporelles simples ont été retenues. Dans ces circonstances, l'indemnité de CHF 500.- proposée par l'appelant paraît plus adéquate que celle de CHF 2'000.- allouée par les premiers juges de sorte que l'appel sera admis sur ce point également.</w:t>
      </w:r>
    </w:p>
    <w:p>
      <w:r>
        <w:rPr>
          <w:b/>
        </w:rPr>
        <w:t>E. 6.1</w:t>
      </w:r>
    </w:p>
    <w:p>
      <w:r>
        <w:t>Selon l'art. 426 al. 1 CPP, le prévenu supporte les frais de procédure s'il est condamné, les frais de la défense d'office étant réservés. Les premiers juge auraient donc effectivement dû déterminer quels étaient les frais de la procédure de première instance liés à l'infraction de brigandage, subsidiairement recel, dont l'appelant a été acquitté, et les laisser à la charge de l'Etat. La CPAR les estimera à CHF 60.- pour les frais de convocation de la victime de ces faits à l'audience de jugement, la moitié des frais de surveillance téléphonique et un tiers de l'émolument de jugement. En outre, la totalité de l'émolument complémentaire lié à la motivation du jugement du fait de l'appel doit être laissée à la charge de l'Etat, ce recours ayant abouti. Le montant des frais de première instance à supporter par l'appelant doit ainsi être réduit à CHF 5'855.-.</w:t>
      </w:r>
    </w:p>
    <w:p>
      <w:r>
        <w:rPr>
          <w:b/>
        </w:rPr>
        <w:t>E. 6.2</w:t>
      </w:r>
    </w:p>
    <w:p>
      <w:r>
        <w:t>Vu l'issue de la procédure d'appel, les frais y relatifs resteront à charge de l'Etat (art. 428 al. 1 CPP).</w:t>
      </w:r>
    </w:p>
    <w:p>
      <w:r>
        <w:t>- 16/22 - P/17258/2014</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w:t>
      </w:r>
    </w:p>
    <w:p>
      <w:r>
        <w:t>- 17/22 - P/17258/2014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w:t>
      </w:r>
    </w:p>
    <w:p>
      <w:r>
        <w:t>- 18/22 - P/17258/2014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Ladite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l'opposition à ordonnance pénale (AARP/161/2014 du 28 mars 2014), l'annonce d'appel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 la demande de non-entrée en matière sur un appel (AARP/421/2014 du 30 septembre 2014) pour autant qu'elle n'ait pas nécessité de développements importants, de brèves observations ou déterminations, notamment au Tribunal des mesures de contraintes ou sur la prolongation de la détention (AARP/326/2015 du 16 juillet 2015 ; AARP/281/2015 du 25 juin 2015 ; AARP/277/2014 du 17 juin 2014 ; AARP/131/2014 du 25 mars 2014), de la requête d'exécution anticipée de la peine (décision de la Cour des plaintes du Tribunal pénal fédéral BB.2013.22 du 31 octobre 2013 consid. 5.2.3) ou encore d'une demande de levée de l'ordre d'écrou (AARP/94/2015 du 17 février 2015 ; AARP/12/2015 du 13 janvier 2015). 7.2.5.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BB.2015.33 du 3 novembre 2015 consid. 4.2.3). Le temps considéré admissible pour les visites dans les établissements du canton est d'une heure et 30 minutes pour les avocats et une heure pour les avocats-stagiaires, ce qui comprend le temps de déplacement.</w:t>
      </w:r>
    </w:p>
    <w:p>
      <w:r>
        <w:t>- 19/22 - P/17258/2014 7.2.6. Le temps consacré à la consultation et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 7.2.7.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t>7.3.1. En l'occurrence seules six visites à l'appelant à la prison, dont une effectuée par une collaboratrice, seront prise en charge au titre de l'assistance juridique, soit une visite mensuelle, à l'exclusion de tout contact postérieur au prononcé du présent verdict, lequel a d'ailleurs entraîné, le jour même, la mise en liberté de l'intéressé. La rédaction et le dépôt de l'annonce et de la déclaration d'appel tombent sous le coup de la majoration forfaitaire. Les huit heures de préparation de l'audience d'appel (que ce soit sous couvert de relecture du dossier ou de préparation de la plaidoirie) seront ramenées à quatre, temps suffisant pour un avocat expérimenté et expéditif, connaissant déjà bien le dossier pour l'avoir suivi devant les autorités précédentes. La rédaction de la requête en indemnisation, se résumant à un rappel de la jurisprudence bien connue et au calcul mathématique du nombre de jours de détention subie au- delà de la peine requise, multiplié par CHF 200.-, ne nécessitait pas plus de 30 minutes. L'audience a duré, en tout, deux heures et 30 minutes. S'y ajoute un double aller-retour, vu l'interruption de deux heures pour la délibération.</w:t>
      </w:r>
    </w:p>
    <w:p>
      <w:r>
        <w:t>- 20/22 - P/17258/2014</w:t>
      </w:r>
    </w:p>
    <w:p>
      <w:r>
        <w:t>7.3.2. L'activité retenue est ainsi de huit heures et 30 minutes pour la cheffe d'étude (cinq visites à la prison ; 30 minutes d'examen du jugement ; 30 minutes de rédaction de la requête en indemnisation) et sept heures et 50 minutes pour l'activité de la collaboratrice (un parloir, quatre heures de préparation de l'audience, deux heures 30 de présence à celle-ci et une heure pour le double aller-retour), d'où une indemnité de CHF 2'660.- à laquelle il convient d'ajouter la majoration forfaitaire de 10% (= CHF 266.-), vu l'activité déjà précédemment déployée, et la TVA par CHF 234,10 (8% de CHF 2'926.-). Le montant total est ainsi de CHF 3'160,10. * * * * *</w:t>
      </w:r>
    </w:p>
    <w:p>
      <w:r>
        <w:t>- 21/22 - P/17258/2014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