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AARP/487/2015 vom 27. November 2015</w:t>
      </w:r>
    </w:p>
    <w:p>
      <w:r>
        <w:t>GE Cour de justice, 2015-11-27, FR</w:t>
      </w:r>
    </w:p>
    <w:p>
      <w:r>
        <w:rPr>
          <w:b/>
        </w:rPr>
        <w:t xml:space="preserve">Quelle: </w:t>
      </w:r>
      <w:r>
        <w:t>https://mcp.opencaselaw.ch/entscheid/ge_gerichte_AARP_487_2015</w:t>
      </w:r>
    </w:p>
    <w:p>
      <w:r>
        <w:t>FR: GE_GERICHTE AARP/487/2015 du 27 novembre 2015</w:t>
      </w:r>
    </w:p>
    <w:p>
      <w:r>
        <w:t>IT: GE_GERICHTE AARP/487/2015 del 27 novembre 2015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L'appelant ne la contestant pas, l'infraction de violation de domicile, réalisée à teneur du dossier, ne sera pas examinée ci-après.</w:t>
      </w:r>
    </w:p>
    <w:p>
      <w:r>
        <w:t>- 9/22 - P/17940/2013</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(ATF 99 IV 212 consid. 1a p. 215 ss ; arrêt du Tribunal fédéral 6B_877/2013 du 28 avril 2014 consid. 4.1). D'autre part, il faut que la victime ait été effectivement alarmée ou effrayée. Elle doit craindre que le préjudice annoncé se réalise. La réalisation de l'infraction de menaces ne nécessite en revanche pas, contrairement à l'infraction de contrainte, que le lésé soit influencé dans sa volonté ou sa manière d'agir (ATF 141 IV 1 consid. 3.2.3 p. 7). L'infraction est intentionnelle, le dol éventuel étant suffisant (arrêts du Tribunal fédéral 6B_877/2013 précité et 6B_307/2013 du 13 juin 2013 consid. 5.1).</w:t>
      </w:r>
    </w:p>
    <w:p>
      <w:r>
        <w:t>2.3.1. Se rend coupable de contrainte au sens de l'art. 181 CP celui qui, en usant de violence envers une personne ou la menaçant d'un dommage sérieux ou en l'entravant</w:t>
      </w:r>
    </w:p>
    <w:p>
      <w:r>
        <w:t>- 10/22 - P/17940/2013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122 IV 322 consid. 1a p. 324 s. ;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134 IV 216 consid. 4.1 p. 218 ;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La contrainte est une infraction de résultat. Pour qu'elle soit consommée, il faut que la victime, sous l'effet du moyen de contrainte illicite, commence à modifier son</w:t>
      </w:r>
    </w:p>
    <w:p>
      <w:r>
        <w:t>- 11/22 - P/17940/2013 comportement, subissant ainsi l'influence voulue par l'auteur (ATF 129 IV 262 consid. 2.7 p. 270). 2.3.2. Si le moyen de contrainte consiste à user de violence, les voies de fait sont englobées dans la contrainte et l'art. 126 CP n'est pas applicable (B. CORBOZ, Les infractions en droit suisse, volume I, 3e éd., Berne 2010, n. 31 ad art. 126 et n. 43 ad art. 181 ; J. HURTADO POZO, Droit pénal : partie spéciale, nouv. éd., Genève/Zurich/Bâle 2009, n. 2490 ad art. 181). Par voies de fait au sens de l'art. 126 CP, il faut entendre des atteintes physiques qui excèdent ce qui est socialement toléré et qui ne causent ni lésions corporelles, ni dommage à la santé. Une telle atteinte peut exister même si elle n'a causé aucune douleur physique (ATF 119 IV 25 consid. 2a p. 26 ; 117 IV 14 consid. 2a p. 15 ss). Lorsque des menaces au sens de l'art. 180 CP sont utilisées comme moyen de pression pour obliger autrui à faire, à ne pas faire ou à laisser faire un acte, seul l'art. 181 CP est applicable (ATF 141 IV 1 consid. 3.2.3. p. 7 ; 99 IV 212 consid. 1b p. 216 ; arrêt du Tribunal fédéral 6B_251/2007 du 7 septembre 2007 consid. 3.1).</w:t>
      </w:r>
    </w:p>
    <w:p>
      <w:r>
        <w:rPr>
          <w:b/>
        </w:rPr>
        <w:t>E. 2.4</w:t>
      </w:r>
    </w:p>
    <w:p>
      <w:r>
        <w:t>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La menace correspond à celle de l'art. 181 CP, même s'il n'est pas précisé qu'elle doit porter sur un dommage sérieux (arrêt du Tribunal fédéral 6B_257/2010 du 5 octobre 2010 consid. 5.1 ; B. CORBOZ, op. cit., n. 5 ad art. 285 CP).</w:t>
      </w:r>
    </w:p>
    <w:p>
      <w:r>
        <w:t>2.5.1. En l'espèce, l'appelant, par la voix de son conseil, a précisé durant les débats d'appel ne plus contester l'infraction de voies de fait – la mention de celle de lésions corporelles simples dans la déclaration d'appel étant de toute évidence due à une erreur de plume –. Cette infraction ayant à juste titre été retenue par le premier juge pour les faits du 31 décembre 2012 vu le certificat médical produit et les éléments figurant au dossier, il n'y a pas lieu à plus ample examen de ces premiers faits.</w:t>
      </w:r>
    </w:p>
    <w:p>
      <w:r>
        <w:t>2.5.2. Concernant la soirée du 24 novembre 2013, la CPAR retient que les faits qui ont précédé l'arrivée de la police se sont déroulés tel que l'a décrit la partie plaignante, son récit étant constant et concordant avec le constat médical et le rapport de la police. L'appelant a du reste admis avoir arraché le téléphone des mains de son</w:t>
      </w:r>
    </w:p>
    <w:p>
      <w:r>
        <w:t>- 12/22 - P/17940/2013 épouse et voulu l'empêcher de sortir. Il ne nie plus en appel l'avoir molestée physiquement, lui causant de la sorte des rougeurs au bras et au dos. Des menaces de mort ont sans doute possible été proférées, vu leur mention immédiate à l'arrivée de la police et les événements subséquents, détaillés de manière circonstanciée dans le rapport d'interpellation et par l'un des gendarmes présents.</w:t>
      </w:r>
    </w:p>
    <w:p>
      <w:r>
        <w:t>Outre qu'elle est contredite par les témoignages, la version des faits de l'appelant au sujet de la deuxième partie de la soirée est incompatible avec l'important dispositif policier mis en place et la durée des tractations avec les gendarmes, puis avec le groupe de négociation. La CPAR est ainsi convaincue que l'appelant, cloîtré plusieurs heures dans l'appartement, a proféré des menaces de mort tant à l'égard des policiers que de son épouse afin de les décourager d'entrer. Du point de vue de la qualification juridique, la violence physique, qualifiée de voies de fait par le premier juge, ce que la CPAR ne peut revoir (art. 391 al. 2 CPP) et les premières menaces proférées, propres à alarmer tout un chacun, ont été les moyens employés par l'appelant pour empêcher la partie plaignante d'appeler la police et de quitter l'appartement, résultat auquel il est en partie parvenu puisque celle-là n'a pu agir comme elle le souhaitait et a dû profiter de son inattention pour se réfugier chez sa voisine et téléphoner. Ainsi qu'il a pu le reconnaître au cours de la procédure, l'appelant voulait ce résultat. L'infraction de contrainte, consommée, réprime l'entier du comportement adopté et absorbe par conséquent les infractions de voies de fait et menaces. Par la suite, l'appelant a sciemment et volontairement empêché, en maintenant fermement la porte, la partie plaignante de réintégrer son domicile, tout en la menaçant de mort. Un tel comportement réalise les conditions de la contrainte. Là encore, cette infraction absorbe les menaces, manifestement proférées dans le but que la partie renonce à son projet d'entrer. Enfin, l'appelant a également empêché, notamment en usant de menaces, la police d'entrer dans l'appartement où il s'était indûment enfermé, faits constitutifs de l'infraction visée à l'art. 285 CP, correctement retenue par le premier juge. Au vu de ce qui précède, il convient de modifier le jugement entrepris en tant qu'il a reconnu l'appelant coupable de menaces au sens de l'art. 180 CP et de le confirmer pour le surplus, l'infraction de voies de faits demeurant pour les faits du 31 décembre 2012 (supra point 2.5.1).</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- 13/22 - P/17940/2013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Berne 2006, ch. II let. B p. 201). Pour les peines de six mois à une année, la loi prévoit une peine privative de liberté ou une peine pécuniaire (art. 34 al. 1 et 40 1ère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w:t>
      </w:r>
    </w:p>
    <w:p>
      <w:r>
        <w:t>3.3.1.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t>- 14/22 - P/17940/2013</w:t>
      </w:r>
    </w:p>
    <w:p>
      <w:r>
        <w:t>3.3.2. L'infraction de voies de fait est passible d'une amende (art. 126 ch. 1 in fine CP). Les infractions de contrainte, violation de domicile et menace contre les autorités ou les fonctionnaires sont punies d'une peine privative de liberté de trois ans au plus ou d'une peine pécuniaire (art. 181, 186 et 285 CP).</w:t>
      </w:r>
    </w:p>
    <w:p>
      <w:r>
        <w:rPr>
          <w:b/>
        </w:rPr>
        <w:t>E. 3.4</w:t>
      </w:r>
    </w:p>
    <w:p>
      <w:r>
        <w:t>En l'espèce, la faute de l'appelant est grave. Il a réitéré des actes portant atteinte à l'intégrité physique de son épouse alors que, par la suspension de la première procédure, une seconde chance lui avait été donnée. L'appelant s'est montré incapable de respecter les décisions des autorités, civiles ou pénales, ou les injonctions de la police. Le désir de voir ses enfants, en soi compréhensible, ne justifie pas son comportement, qu'il a adopté en étant pleinement responsable à teneur de l'expertise psychiatrique, et conscient, selon ses propres dires, que son choix de se cloîtrer serait au final néfaste pour sa relation avec eux. La CPAR relève un certain égoïsme dans sa démarche, l'appelant faisant fi de ce qu'ont pu ressentir son épouse ou ses deux enfants face à son intrusion. Ses préoccupations à l'égard de ses enfants semblent en outre dépendre des circonstances, les possibilités de visite qui lui sont offertes n'étant pas saisies. La collaboration à la procédure est aussi fluctuante que les prises de conscience de l'appelant. L'appelant admet avoir besoin d'aide, mais peine à réaliser sa faute, maintenant en partie être dans son droit. Il dit parfois comprendre ce qui lui est reproché et vouloir changer, tout en adoptant un comportement en porte-à-faux avec ce qu'il déclare. Il semble toutefois qu'il n'importune désormais plus son épouse.</w:t>
      </w:r>
    </w:p>
    <w:p>
      <w:r>
        <w:t>Il y a concours entre les différentes infractions, à l'exception de celle de voies de fait, qui doit être sanctionnée séparément d'une amende.</w:t>
      </w:r>
    </w:p>
    <w:p>
      <w:r>
        <w:t>L'appelant n'a pas d'antécédents, ce qui est toutefois neutre sur la fixation de la peine (ATF 136 IV 1 consid. 2.6.4).</w:t>
      </w:r>
    </w:p>
    <w:p>
      <w:r>
        <w:t>Compte tenu de la faute de l'appelant, de ses circonstances personnelles, des concours effectivement retenus et des effets à escompter de la sanction, la CPAR estime, à l'instar du premier juge, qu'une peine privative de liberté est la sanction adaptée. Celle-ci sera arrêtée à huit mois et une amende de CHF 200.-, peine privative de liberté de substitution de deux jours, sera prononcée pour les voies de faits.</w:t>
      </w:r>
    </w:p>
    <w:p>
      <w:r>
        <w:t>Le jugement entrepris sera modifié en ce sens.</w:t>
      </w:r>
    </w:p>
    <w:p>
      <w:r>
        <w:rPr>
          <w:b/>
        </w:rPr>
        <w:t>E. 4.1</w:t>
      </w:r>
    </w:p>
    <w:p>
      <w:r>
        <w:t>Au sens de l'art. 42 al. 1 CP, le juge suspend en règle générale l'exécution d'une peine pécuniaire, d'un travail d'intérêt général ou d'une peine privative de liberté de</w:t>
      </w:r>
    </w:p>
    <w:p>
      <w:r>
        <w:t>- 15/22 - P/17940/2013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4.2.1. Pour la durée du délai d'épreuve, le juge peut ordonner une assistance de probation et imposer des règles de conduite (art. 44 al. 2 CP). L'assistance de probation doit préserver les personnes prises en charge de la commission de nouvelles infractions et favoriser leur intégration sociale (art. 93 al. 1 CP). Les règles de conduite sont consacrées à l'art. 94 CP, qui prévoit qu'elles portent notamment sur les soins médicaux et psychologiques.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106 IV 325 consid. 1 p. 327 ; arrêt du Tribunal fédéral 6B_626/2008 du 11 novembre 2008 consid. 6.1).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4.2.2. Aux termes de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l'al. 4 prévoit que le juge ou l'autorité d'exécution peut prolonger le délai d'épreuve jusqu'à concurrence de la moitié de sa durée (let. a) ; lever l'assistance de probation ou en ordonner une nouvelle (let. b) ; modifier les règles de conduite, les révoquer ou en imposer de nouvelles (let. c). Le juge peut aussi révoquer le sursis ou ordonner la réintégration dans l'exécution de la peine ou de la mesure s'il est sérieusement à craindre que le condamné ne commette de nouvelles infractions (al. 5).</w:t>
      </w:r>
    </w:p>
    <w:p>
      <w:r>
        <w:rPr>
          <w:b/>
        </w:rPr>
        <w:t>E. 4.3</w:t>
      </w:r>
    </w:p>
    <w:p>
      <w:r>
        <w:t>En l'espèce, le bénéfice du sursis, dont les conditions sont réalisées, est acquis à l'appelant (art. 391 al. 2 CPP). La durée du délai d'épreuve paraît propre à le dissuader de récidiver et est par conséquent justifiée, ce qui n'est au demeurant pas contesté.</w:t>
      </w:r>
    </w:p>
    <w:p>
      <w:r>
        <w:t>- 16/22 - P/17940/2013 L'appelant remet en cause le principe de l'imposition de règles de conduite au motif qu'il ne pourra pas les respecter. Son incapacité à observer les règles imposées ne signifie pas que celles-ci soient contraires à son intérêt. C'est précisément la difficulté de l'appelant à se conformer à d'autres impératifs que les siens qui risque de le conduire à réitérer des agissements délictueux. Les règles de conduite fixées par le premier juge, en tant qu'elles prévoient soutien psychologique et conseil sur un plan social tout en fixant un cadre à l'appelant, paraissent dès lors particulièrement à même de l'aider et d'ainsi diminuer le risque de récidive. Celui-ci avait d'ailleurs admis devant le premier juge qu'un suivi psychothérapeutique, s'il n'était pas axé uniquement sur ses problèmes de dépendance, lui serait utile et bénéfique et s'était dit prêt à des entretiens réguliers auprès du SPI. Les règles imposées par le premier juge ne sont pas d'une rigueur excessive. Elles peuvent aisément être respectées par l'appelant, qui n'a, selon les éléments figurant au dossier, pas d'autres activités à concilier. En définitive, le seul obstacle à leur suivi réside dans le manque de volonté de l'appelant, ce qui ne saurait constituer un motif à leur abandon. S'abstenir de prononcer pour ce prétexte des règles de conduite reviendrait à conforter l'appelant dans son comportement et à cautionner d'une certaine manière son refus de se conformer aux décisions des autorités. Par ailleurs, la probabilité qu'un condamné ne respecte pas les futures règles de conduite imposées ne doit pas conduire à y renoncer, sauf à vider de leur sens les dispositions relatives aux conséquences de leur non-respect, lesquelles permettent une adaptation des règles fixées en fonction de l'évolution du condamné. Pour les motifs qui précèdent, l'assistance de probation et les règles de conduite ordonnées par le premier juge doivent être confirmées et l'appel rejeté sur ce point.</w:t>
      </w:r>
    </w:p>
    <w:p>
      <w:r>
        <w:rPr>
          <w:b/>
        </w:rPr>
        <w:t>E. 5.1</w:t>
      </w:r>
    </w:p>
    <w:p>
      <w:r>
        <w:t>La partie plaignante peut faire valoir des conclusions civiles déduites de l'infraction par adhésion à la procédure (art. 122 al. 1 CPP). En vertu de l'art. 126 CPP, le tribunal statue également sur les conclusions civiles présentées lorsqu'il rend un verdict de culpabilité à l'encontre du prévenu.</w:t>
      </w:r>
    </w:p>
    <w:p>
      <w:r>
        <w:rPr>
          <w:b/>
        </w:rPr>
        <w:t>E. 5.2</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w:t>
      </w:r>
    </w:p>
    <w:p>
      <w:r>
        <w:t>- 17/22 - P/17940/2013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w:t>
      </w:r>
    </w:p>
    <w:p>
      <w:r>
        <w:rPr>
          <w:b/>
        </w:rPr>
        <w:t>E. 5.3</w:t>
      </w:r>
    </w:p>
    <w:p>
      <w:r>
        <w:t>En l'espèce, il convient de confirmer tant le principe d'une réparation du tort moral que le montant alloué à ce titre par le premier juge, la gravité des souffrances psychologiques endurées par la partie plaignante, qui sont directement liées aux actes de l'appelant et attestées par certificat médical, justifiant l'allocation d'une indemnité de CHF 1'000.-.</w:t>
      </w:r>
    </w:p>
    <w:p>
      <w:r>
        <w:rPr>
          <w:b/>
        </w:rPr>
        <w:t>E. 6</w:t>
      </w:r>
    </w:p>
    <w:p>
      <w:r>
        <w:t>L'appelant, qui obtient partiellement gain de cause, supportera les deux tiers des frais de la procédure d'appel, qui comprennent dans leur totalité un émolument de décision de CHF 1'300.- (art. 428 CPP et 14 al. 1 let. e du Règlement fixant le tarif des frais en matière pénale du 22 décembre 2010 [RTFMP ; RS E 4 10.03]). Le solde de ces frais sera laissé à la charge de l'Etat.</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- 18/22 - P/17940/2013</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l'ancienne pratique selon laquelle l'activité consacrée aux conférences, audiences et autres actes de la procédure était forfaitairement majorée de 20% jusqu'à trente heures d'activité, 10% lorsque l'état de frais porte sur plus de trente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- 19/22 - P/17940/2013</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7.2.4.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7.3.1. En l'espèce, l'activité déployée par le défenseur d'office de A______ pour la procédure d'appel, soit trois heures d'activité d'un chef d'étude en ajustant la durée des débats d'appel (30 minutes au lieu d'une heure estimée), est en adéquation avec la nature, l'importance et la difficulté de la cause. L'indemnisation sera dès lors accordée à hauteur de CHF 712.80, indemnisation forfaitaire de 10% vu l'ensemble de l'activité déployée au cours de la procédure (CHF 60.-) et TVA à 8% (CHF 52.80) comprises. 7.3.2. Considéré dans sa globalité, l'état de frais produit par le conseil juridique gratuit de B______ paraît également adéquat et conforme aux principes qui précèdent, de sorte qu'il n'est pas nécessaire de reprendre le détail des postes qui le composent. Aussi, l'indemnité sera arrêtée à CHF 487.65 correspondant à trente minutes d'activité d'un chef d'étude à CHF 200.-/heure et quatre heures et quinze minutes d'activité d'un stagiaire à CHF 65.-/heure, indemnisation forfaitaire de 20% (CHF 75.25) et TVA au taux de 8% (CHF 36.15) incluses.</w:t>
      </w:r>
    </w:p>
    <w:p>
      <w:r>
        <w:t>- 20/22 - P/17940/2013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