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AARP/483/2016 vom 29. November 2016</w:t>
      </w:r>
    </w:p>
    <w:p>
      <w:r>
        <w:t>GE Cour de justice, 2016-11-29, FR</w:t>
      </w:r>
    </w:p>
    <w:p>
      <w:r>
        <w:rPr>
          <w:b/>
        </w:rPr>
        <w:t xml:space="preserve">Quelle: </w:t>
      </w:r>
      <w:r>
        <w:t>https://mcp.opencaselaw.ch/entscheid/ge_gerichte_AARP_483_2016</w:t>
      </w:r>
    </w:p>
    <w:p>
      <w:r>
        <w:t>FR: GE_GERICHTE AARP/483/2016 du 29 novembre 2016</w:t>
      </w:r>
    </w:p>
    <w:p>
      <w:r>
        <w:t>IT: GE_GERICHTE AARP/483/2016 del 29 novembre 2016</w:t>
      </w:r>
    </w:p>
    <w:p>
      <w:pPr>
        <w:pStyle w:val="Heading2"/>
      </w:pPr>
      <w:r>
        <w:t>Erwägungen</w:t>
      </w:r>
    </w:p>
    <w:p>
      <w:r>
        <w:rPr>
          <w:b/>
        </w:rPr>
        <w:t>E. 3</w:t>
      </w:r>
    </w:p>
    <w:p>
      <w:r>
        <w:t>Le jugement sera également annulé en ce qu'il met les frais de la procédure de première instance et ceux de la partie plaignante à la charge du prévenu, les conclusions de cette dernière sur appel joint et en couverture de ses frais de deuxième instance étant rejetées (art. 423 et 426 al. 1 ainsi que 433 a contrario CPP).</w:t>
      </w:r>
    </w:p>
    <w:p>
      <w:r>
        <w:rPr>
          <w:b/>
        </w:rPr>
        <w:t>E. 4.1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t>Les honoraires d'avocat se calculent selon le tarif local, à condition qu'ils restent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w:t>
      </w:r>
    </w:p>
    <w:p>
      <w:r>
        <w:t>- 18/20 - P/979/2013 La Cour de justice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w:t>
      </w:r>
    </w:p>
    <w:p>
      <w:r>
        <w:rPr>
          <w:b/>
        </w:rPr>
        <w:t>E. 4.2</w:t>
      </w:r>
    </w:p>
    <w:p>
      <w:r>
        <w:t>Si le principe de la couverture des dépenses de l'appelant est acquis, vu l'issue de la procédure, il reste que le montant de ses prétentions à ce titre parait très excessif au regard du principe de nécessité. On ne voit pas comment le suivi du dossier, qui n'est pas particulièrement volumineux et n'a pas donné lieu à une multitude d'audiences, peut avoir raisonnablement généré près de 90 heures d'activité (84 + cinq heures trente pour la procédure d'appel), tous intervenants confondus. Les notes d'honoraires produites, qui, s'agissant du second cabinet consulté, ne donnent aucun détail de temps et évoquent certaines prestations dont le lien avec la procédure pénale ne saute pas aux yeux, ne permettent pas d'y voir plus clair.</w:t>
      </w:r>
    </w:p>
    <w:p>
      <w:r>
        <w:t>Au regard de l'importance et de la difficulté – au plus moyenne – du dossier, la CPAR retiendra qu'un maximum de 50 heures d'activité permet de couvrir très largement l'activité nécessaire à la défense du prévenu pour l'ensemble de la procédure. Par mesure de simplification et voulant faire preuve d'indulgence, elle appliquera le taux horaire le plus élevé mentionné sur les factures, soit CHF 400.-, ce qui conduit à l'octroi d'une indemnité de CHF 20'000.-, plus la TVA, par CHF 1'600.-.</w:t>
      </w:r>
    </w:p>
    <w:p>
      <w:r>
        <w:rPr>
          <w:b/>
        </w:rPr>
        <w:t>E. 5</w:t>
      </w:r>
    </w:p>
    <w:p>
      <w:r>
        <w:t>L'appelant obtient gain de cause alors que l'intimée, appelante sur appel joint, et le MP, lequel s'était borné à conclure au rejet de l'appel, succombent. Dans ces circonstances, il se justifie de mettre la moitié des frais de la procédure, lesquels comprennent un émolument d'arrêt de CHF 2'000.-, à la charge de l'intimée, le solde étant laissé à celle de Etat (art. 428 al. 1 CPP et art. 14 règlement fixant le tarif des frais en matière pénale du 22 décembre 2010 [RTFMP - E 4 10.03]). * * * * *</w:t>
      </w:r>
    </w:p>
    <w:p>
      <w:r>
        <w:t>- 19/20 - P/979/2013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